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FEBD48">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77422A90">
      <w:pPr>
        <w:pStyle w:val="2"/>
        <w:bidi w:val="0"/>
        <w:jc w:val="center"/>
        <w:rPr>
          <w:rFonts w:hint="eastAsia"/>
        </w:rPr>
      </w:pPr>
      <w:r>
        <w:rPr>
          <w:rFonts w:hint="eastAsia"/>
        </w:rPr>
        <w:t>周口市中等职业教育质量年度报告</w:t>
      </w:r>
    </w:p>
    <w:p w14:paraId="3046029C">
      <w:pPr>
        <w:pStyle w:val="2"/>
        <w:bidi w:val="0"/>
        <w:jc w:val="center"/>
        <w:rPr>
          <w:rFonts w:hint="eastAsia"/>
        </w:rPr>
      </w:pPr>
      <w:r>
        <w:rPr>
          <w:rFonts w:hint="eastAsia"/>
        </w:rPr>
        <w:t>（202</w:t>
      </w:r>
      <w:r>
        <w:rPr>
          <w:rFonts w:hint="eastAsia"/>
          <w:lang w:val="en"/>
        </w:rPr>
        <w:t>5</w:t>
      </w:r>
      <w:r>
        <w:rPr>
          <w:rFonts w:hint="eastAsia"/>
        </w:rPr>
        <w:t>）</w:t>
      </w:r>
    </w:p>
    <w:p w14:paraId="3B803EF0">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lang w:val="en-US" w:eastAsia="zh-CN"/>
        </w:rPr>
      </w:pPr>
    </w:p>
    <w:p w14:paraId="575286F6">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47C76D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2148A68">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68908CC2">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F19972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10B885A">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115429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B91F16F">
      <w:pPr>
        <w:keepNext w:val="0"/>
        <w:keepLines w:val="0"/>
        <w:pageBreakBefore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周口市教育体育局</w:t>
      </w:r>
    </w:p>
    <w:p w14:paraId="459352A1">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18F71924">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3C1058F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512EF7E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795A541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740C3E5A">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53C1830">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A8985D9">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1BAFED0C">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b/>
          <w:sz w:val="32"/>
          <w:szCs w:val="32"/>
          <w:highlight w:val="none"/>
        </w:rPr>
        <w:t>目  录</w:t>
      </w:r>
    </w:p>
    <w:p w14:paraId="5F4D0CCC">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1  基本情况</w:t>
      </w:r>
    </w:p>
    <w:p w14:paraId="70B6F311">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1.1 规模和结构</w:t>
      </w:r>
    </w:p>
    <w:p w14:paraId="6BDEFBCA">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1.2 设施设备</w:t>
      </w:r>
    </w:p>
    <w:p w14:paraId="7576C0AC">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1.3 教师队伍</w:t>
      </w:r>
    </w:p>
    <w:p w14:paraId="2B29A83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2  学生发展</w:t>
      </w:r>
    </w:p>
    <w:p w14:paraId="214E1544">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2.1 学生素质</w:t>
      </w:r>
    </w:p>
    <w:p w14:paraId="56F27958">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2.2 就业质量</w:t>
      </w:r>
    </w:p>
    <w:p w14:paraId="13EF96CF">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3  质量保障措施</w:t>
      </w:r>
    </w:p>
    <w:p w14:paraId="415D056C">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3.1 专业布局</w:t>
      </w:r>
    </w:p>
    <w:p w14:paraId="63E031A5">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3.2 质量保证</w:t>
      </w:r>
    </w:p>
    <w:p w14:paraId="164D3A7F">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3.3 师资建设</w:t>
      </w:r>
    </w:p>
    <w:p w14:paraId="2B66BBC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4  校企合作</w:t>
      </w:r>
    </w:p>
    <w:p w14:paraId="59C52740">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4.1 校企合作开展情况和效果</w:t>
      </w:r>
    </w:p>
    <w:p w14:paraId="54E66DD4">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4.2 学生实习情况</w:t>
      </w:r>
    </w:p>
    <w:p w14:paraId="2E5D88E1">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5  社会贡献</w:t>
      </w:r>
    </w:p>
    <w:p w14:paraId="6F1CB2DD">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5.1 技术技能人才培养</w:t>
      </w:r>
    </w:p>
    <w:p w14:paraId="7363677B">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 xml:space="preserve">5.2 </w:t>
      </w:r>
      <w:r>
        <w:rPr>
          <w:rFonts w:hint="eastAsia" w:ascii="CESI仿宋-GB2312" w:hAnsi="CESI仿宋-GB2312" w:eastAsia="CESI仿宋-GB2312" w:cs="CESI仿宋-GB2312"/>
          <w:sz w:val="32"/>
          <w:szCs w:val="32"/>
          <w:highlight w:val="none"/>
          <w:lang w:eastAsia="zh-CN"/>
        </w:rPr>
        <w:t>社会</w:t>
      </w:r>
      <w:r>
        <w:rPr>
          <w:rFonts w:hint="eastAsia" w:ascii="CESI仿宋-GB2312" w:hAnsi="CESI仿宋-GB2312" w:eastAsia="CESI仿宋-GB2312" w:cs="CESI仿宋-GB2312"/>
          <w:sz w:val="32"/>
          <w:szCs w:val="32"/>
          <w:highlight w:val="none"/>
        </w:rPr>
        <w:t>服务</w:t>
      </w:r>
    </w:p>
    <w:p w14:paraId="642F91C2">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6  政府履责</w:t>
      </w:r>
    </w:p>
    <w:p w14:paraId="3BA349D8">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7  特色创新</w:t>
      </w:r>
    </w:p>
    <w:p w14:paraId="5D13AE5E">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8  学校党建工作情况</w:t>
      </w:r>
    </w:p>
    <w:p w14:paraId="74C764DD">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b/>
          <w:sz w:val="32"/>
          <w:szCs w:val="32"/>
          <w:highlight w:val="none"/>
        </w:rPr>
        <w:t>9  主要问题和改进措施</w:t>
      </w:r>
    </w:p>
    <w:p w14:paraId="26E370F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rPr>
      </w:pPr>
      <w:r>
        <w:rPr>
          <w:rFonts w:hint="eastAsia" w:ascii="CESI仿宋-GB2312" w:hAnsi="CESI仿宋-GB2312" w:eastAsia="CESI仿宋-GB2312" w:cs="CESI仿宋-GB2312"/>
          <w:sz w:val="30"/>
          <w:szCs w:val="30"/>
          <w:highlight w:val="none"/>
        </w:rPr>
        <w:t>2025年，</w:t>
      </w:r>
      <w:r>
        <w:rPr>
          <w:rFonts w:hint="eastAsia" w:ascii="CESI仿宋-GB2312" w:hAnsi="CESI仿宋-GB2312" w:eastAsia="CESI仿宋-GB2312" w:cs="CESI仿宋-GB2312"/>
          <w:sz w:val="30"/>
          <w:szCs w:val="30"/>
          <w:highlight w:val="none"/>
          <w:lang w:eastAsia="zh-CN"/>
        </w:rPr>
        <w:t>周口市</w:t>
      </w:r>
      <w:r>
        <w:rPr>
          <w:rFonts w:hint="eastAsia" w:ascii="CESI仿宋-GB2312" w:hAnsi="CESI仿宋-GB2312" w:eastAsia="CESI仿宋-GB2312" w:cs="CESI仿宋-GB2312"/>
          <w:sz w:val="30"/>
          <w:szCs w:val="30"/>
          <w:highlight w:val="none"/>
        </w:rPr>
        <w:t>以习近平新时代中国特色社会主义思想为指导，全面贯彻落实党的二十大</w:t>
      </w:r>
      <w:r>
        <w:rPr>
          <w:rFonts w:hint="eastAsia" w:ascii="CESI仿宋-GB2312" w:hAnsi="CESI仿宋-GB2312" w:eastAsia="CESI仿宋-GB2312" w:cs="CESI仿宋-GB2312"/>
          <w:sz w:val="30"/>
          <w:szCs w:val="30"/>
          <w:highlight w:val="none"/>
          <w:lang w:val="en-US" w:eastAsia="zh-CN"/>
        </w:rPr>
        <w:t>和</w:t>
      </w:r>
      <w:bookmarkStart w:id="0" w:name="_GoBack"/>
      <w:bookmarkEnd w:id="0"/>
      <w:r>
        <w:rPr>
          <w:rFonts w:hint="eastAsia" w:ascii="CESI仿宋-GB2312" w:hAnsi="CESI仿宋-GB2312" w:eastAsia="CESI仿宋-GB2312" w:cs="CESI仿宋-GB2312"/>
          <w:sz w:val="30"/>
          <w:szCs w:val="30"/>
          <w:highlight w:val="none"/>
        </w:rPr>
        <w:t>二十届二中、三中、四中全会精神，严格遵循《国务院关于印发国家职业教育改革实施方案》（国发〔2019〕4号）、《教育强国建设规划纲要（2024-2035年）》以及全国、全省职业教育大会最新部署，在市委、市政府统筹领导下，以周口产教融合示范区建设为核心抓手，锚定“河南省职业教育创新发展高地”目标，持续深化职普融通、产教融合、科教融汇，着力破解职业教育资源布局失衡、产教协同不深、内涵建设不足等问题，推动全市职业教育实现规模扩容与质量提升的双向突破，为周口“临港新城、开放前沿”城市定位提供更坚实的技术技能人才支撑。</w:t>
      </w:r>
    </w:p>
    <w:p w14:paraId="705DA321">
      <w:pPr>
        <w:keepNext w:val="0"/>
        <w:keepLines w:val="0"/>
        <w:pageBreakBefore w:val="0"/>
        <w:widowControl/>
        <w:numPr>
          <w:ilvl w:val="0"/>
          <w:numId w:val="1"/>
        </w:numPr>
        <w:suppressLineNumbers w:val="0"/>
        <w:kinsoku/>
        <w:wordWrap/>
        <w:overflowPunct/>
        <w:topLinePunct w:val="0"/>
        <w:autoSpaceDE/>
        <w:autoSpaceDN/>
        <w:bidi w:val="0"/>
        <w:adjustRightInd/>
        <w:snapToGrid/>
        <w:ind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基本情况</w:t>
      </w:r>
    </w:p>
    <w:p w14:paraId="70CDA551">
      <w:pPr>
        <w:keepNext w:val="0"/>
        <w:keepLines w:val="0"/>
        <w:pageBreakBefore w:val="0"/>
        <w:widowControl/>
        <w:numPr>
          <w:ilvl w:val="1"/>
          <w:numId w:val="1"/>
        </w:numPr>
        <w:suppressLineNumbers w:val="0"/>
        <w:kinsoku/>
        <w:wordWrap/>
        <w:overflowPunct/>
        <w:topLinePunct w:val="0"/>
        <w:autoSpaceDE/>
        <w:autoSpaceDN/>
        <w:bidi w:val="0"/>
        <w:adjustRightInd/>
        <w:snapToGrid/>
        <w:ind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规模和结构</w:t>
      </w:r>
      <w:r>
        <w:rPr>
          <w:rFonts w:hint="eastAsia" w:ascii="楷体_GB2312" w:hAnsi="宋体" w:eastAsia="楷体_GB2312" w:cs="楷体_GB2312"/>
          <w:color w:val="000000"/>
          <w:kern w:val="0"/>
          <w:sz w:val="30"/>
          <w:szCs w:val="30"/>
          <w:highlight w:val="none"/>
          <w:lang w:val="en-US" w:eastAsia="zh-CN" w:bidi="ar"/>
        </w:rPr>
        <w:tab/>
      </w:r>
    </w:p>
    <w:p w14:paraId="56360C3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rPr>
      </w:pPr>
      <w:r>
        <w:rPr>
          <w:rFonts w:hint="eastAsia" w:ascii="CESI仿宋-GB2312" w:hAnsi="CESI仿宋-GB2312" w:eastAsia="CESI仿宋-GB2312" w:cs="CESI仿宋-GB2312"/>
          <w:sz w:val="30"/>
          <w:szCs w:val="30"/>
          <w:highlight w:val="none"/>
        </w:rPr>
        <w:t>截至2025年，周口市职业教育已初步形成“多层次、广覆盖、强对接”的发展格局，为“十五五”时期提质升级奠定坚实基础。一是院校体系日趋完善。全市共有职业院校4</w:t>
      </w:r>
      <w:r>
        <w:rPr>
          <w:rFonts w:hint="eastAsia" w:ascii="CESI仿宋-GB2312" w:hAnsi="CESI仿宋-GB2312" w:eastAsia="CESI仿宋-GB2312" w:cs="CESI仿宋-GB2312"/>
          <w:sz w:val="30"/>
          <w:szCs w:val="30"/>
          <w:highlight w:val="none"/>
          <w:lang w:val="en-US" w:eastAsia="zh-CN"/>
        </w:rPr>
        <w:t>3</w:t>
      </w:r>
      <w:r>
        <w:rPr>
          <w:rFonts w:hint="eastAsia" w:ascii="CESI仿宋-GB2312" w:hAnsi="CESI仿宋-GB2312" w:eastAsia="CESI仿宋-GB2312" w:cs="CESI仿宋-GB2312"/>
          <w:sz w:val="30"/>
          <w:szCs w:val="30"/>
          <w:highlight w:val="none"/>
        </w:rPr>
        <w:t>所，涵盖职业本科、高职、技师学院、中职四个层次，其中职业本科院校1所（河南科技职业大学，在校生2.5万人）、高职院校5所（在校生4.2万人）、技师学院2所（在校生1.05万人）、中职学校3</w:t>
      </w:r>
      <w:r>
        <w:rPr>
          <w:rFonts w:hint="eastAsia" w:ascii="CESI仿宋-GB2312" w:hAnsi="CESI仿宋-GB2312" w:eastAsia="CESI仿宋-GB2312" w:cs="CESI仿宋-GB2312"/>
          <w:sz w:val="30"/>
          <w:szCs w:val="30"/>
          <w:highlight w:val="none"/>
          <w:lang w:val="en-US" w:eastAsia="zh-CN"/>
        </w:rPr>
        <w:t>5</w:t>
      </w:r>
      <w:r>
        <w:rPr>
          <w:rFonts w:hint="eastAsia" w:ascii="CESI仿宋-GB2312" w:hAnsi="CESI仿宋-GB2312" w:eastAsia="CESI仿宋-GB2312" w:cs="CESI仿宋-GB2312"/>
          <w:sz w:val="30"/>
          <w:szCs w:val="30"/>
          <w:highlight w:val="none"/>
        </w:rPr>
        <w:t>所（在校生</w:t>
      </w:r>
      <w:r>
        <w:rPr>
          <w:rFonts w:hint="default" w:ascii="CESI仿宋-GB2312" w:hAnsi="CESI仿宋-GB2312" w:eastAsia="CESI仿宋-GB2312" w:cs="CESI仿宋-GB2312"/>
          <w:sz w:val="30"/>
          <w:szCs w:val="30"/>
          <w:highlight w:val="none"/>
          <w:lang w:val="en"/>
        </w:rPr>
        <w:t>3.</w:t>
      </w:r>
      <w:r>
        <w:rPr>
          <w:rFonts w:hint="eastAsia" w:ascii="CESI仿宋-GB2312" w:hAnsi="CESI仿宋-GB2312" w:eastAsia="CESI仿宋-GB2312" w:cs="CESI仿宋-GB2312"/>
          <w:sz w:val="30"/>
          <w:szCs w:val="30"/>
          <w:highlight w:val="none"/>
          <w:lang w:val="en-US" w:eastAsia="zh-CN"/>
        </w:rPr>
        <w:t>2</w:t>
      </w:r>
      <w:r>
        <w:rPr>
          <w:rFonts w:hint="default" w:ascii="CESI仿宋-GB2312" w:hAnsi="CESI仿宋-GB2312" w:eastAsia="CESI仿宋-GB2312" w:cs="CESI仿宋-GB2312"/>
          <w:sz w:val="30"/>
          <w:szCs w:val="30"/>
          <w:highlight w:val="none"/>
          <w:lang w:val="en"/>
        </w:rPr>
        <w:t>6</w:t>
      </w:r>
      <w:r>
        <w:rPr>
          <w:rFonts w:hint="eastAsia" w:ascii="CESI仿宋-GB2312" w:hAnsi="CESI仿宋-GB2312" w:eastAsia="CESI仿宋-GB2312" w:cs="CESI仿宋-GB2312"/>
          <w:sz w:val="30"/>
          <w:szCs w:val="30"/>
          <w:highlight w:val="none"/>
        </w:rPr>
        <w:t>万人），构建起“中-高-本”衔接的初步框架。二是专业对接产业紧密。开设专业覆盖工、农、医、师四大类，重点建设机电一体化、智能制造等高水平专业群；河南科技职业大学与凯旺科技、周口职业技术学院与金丹乳酸等校企合作案例成效显著。三是产教融合初见成效。全市职业院校与百度、腾讯、京东、耕德电子等200余家大中型企业建立合作，高职院校累计开展校企合作项目254个；建成21家省市级产业研究院。</w:t>
      </w:r>
    </w:p>
    <w:p w14:paraId="7A9ABB0F">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sz w:val="30"/>
          <w:szCs w:val="30"/>
          <w:highlight w:val="none"/>
          <w:lang w:val="en-US" w:eastAsia="zh-CN"/>
        </w:rPr>
      </w:pPr>
      <w:r>
        <w:rPr>
          <w:rFonts w:hint="eastAsia" w:ascii="CESI仿宋-GB2312" w:hAnsi="CESI仿宋-GB2312" w:eastAsia="CESI仿宋-GB2312" w:cs="CESI仿宋-GB2312"/>
          <w:b/>
          <w:bCs/>
          <w:sz w:val="30"/>
          <w:szCs w:val="30"/>
          <w:highlight w:val="none"/>
          <w:lang w:val="en-US" w:eastAsia="zh-CN"/>
        </w:rPr>
        <w:t>1.1设施设备</w:t>
      </w:r>
    </w:p>
    <w:p w14:paraId="05B52866">
      <w:pPr>
        <w:keepNext w:val="0"/>
        <w:keepLines w:val="0"/>
        <w:pageBreakBefore w:val="0"/>
        <w:widowControl/>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lang w:eastAsia="zh-CN"/>
        </w:rPr>
        <w:t>全市</w:t>
      </w:r>
      <w:r>
        <w:rPr>
          <w:rFonts w:hint="eastAsia" w:ascii="CESI仿宋-GB2312" w:hAnsi="CESI仿宋-GB2312" w:eastAsia="CESI仿宋-GB2312" w:cs="CESI仿宋-GB2312"/>
          <w:color w:val="000000"/>
          <w:kern w:val="0"/>
          <w:sz w:val="30"/>
          <w:szCs w:val="30"/>
          <w:highlight w:val="none"/>
        </w:rPr>
        <w:t>中等职业学校校园占地面积2455092.65</w:t>
      </w:r>
      <w:r>
        <w:rPr>
          <w:rFonts w:hint="eastAsia" w:ascii="CESI仿宋-GB2312" w:hAnsi="CESI仿宋-GB2312" w:eastAsia="CESI仿宋-GB2312" w:cs="CESI仿宋-GB2312"/>
          <w:color w:val="000000"/>
          <w:kern w:val="0"/>
          <w:sz w:val="30"/>
          <w:szCs w:val="30"/>
          <w:highlight w:val="none"/>
          <w:lang w:eastAsia="zh-CN"/>
        </w:rPr>
        <w:t>平方米，其中</w:t>
      </w:r>
      <w:r>
        <w:rPr>
          <w:rFonts w:hint="eastAsia" w:ascii="CESI仿宋-GB2312" w:hAnsi="CESI仿宋-GB2312" w:eastAsia="CESI仿宋-GB2312" w:cs="CESI仿宋-GB2312"/>
          <w:color w:val="000000"/>
          <w:kern w:val="0"/>
          <w:sz w:val="30"/>
          <w:szCs w:val="30"/>
          <w:highlight w:val="none"/>
        </w:rPr>
        <w:t>学校产权校园占地面积2362605.65</w:t>
      </w:r>
      <w:r>
        <w:rPr>
          <w:rFonts w:hint="eastAsia" w:ascii="CESI仿宋-GB2312" w:hAnsi="CESI仿宋-GB2312" w:eastAsia="CESI仿宋-GB2312" w:cs="CESI仿宋-GB2312"/>
          <w:color w:val="000000"/>
          <w:kern w:val="0"/>
          <w:sz w:val="30"/>
          <w:szCs w:val="30"/>
          <w:highlight w:val="none"/>
          <w:lang w:eastAsia="zh-CN"/>
        </w:rPr>
        <w:t>平方米，</w:t>
      </w:r>
      <w:r>
        <w:rPr>
          <w:rFonts w:hint="eastAsia" w:ascii="CESI仿宋-GB2312" w:hAnsi="CESI仿宋-GB2312" w:eastAsia="CESI仿宋-GB2312" w:cs="CESI仿宋-GB2312"/>
          <w:color w:val="000000"/>
          <w:kern w:val="0"/>
          <w:sz w:val="30"/>
          <w:szCs w:val="30"/>
          <w:highlight w:val="none"/>
        </w:rPr>
        <w:t>非学校产权校园占地面积92487</w:t>
      </w:r>
      <w:r>
        <w:rPr>
          <w:rFonts w:hint="eastAsia" w:ascii="CESI仿宋-GB2312" w:hAnsi="CESI仿宋-GB2312" w:eastAsia="CESI仿宋-GB2312" w:cs="CESI仿宋-GB2312"/>
          <w:color w:val="000000"/>
          <w:kern w:val="0"/>
          <w:sz w:val="30"/>
          <w:szCs w:val="30"/>
          <w:highlight w:val="none"/>
          <w:lang w:eastAsia="zh-CN"/>
        </w:rPr>
        <w:t>平方米，</w:t>
      </w:r>
      <w:r>
        <w:rPr>
          <w:rFonts w:hint="eastAsia" w:ascii="CESI仿宋-GB2312" w:hAnsi="CESI仿宋-GB2312" w:eastAsia="CESI仿宋-GB2312" w:cs="CESI仿宋-GB2312"/>
          <w:color w:val="000000"/>
          <w:kern w:val="0"/>
          <w:sz w:val="30"/>
          <w:szCs w:val="30"/>
          <w:highlight w:val="none"/>
        </w:rPr>
        <w:t>校舍建筑面积1421585.52</w:t>
      </w:r>
      <w:r>
        <w:rPr>
          <w:rFonts w:hint="eastAsia" w:ascii="CESI仿宋-GB2312" w:hAnsi="CESI仿宋-GB2312" w:eastAsia="CESI仿宋-GB2312" w:cs="CESI仿宋-GB2312"/>
          <w:color w:val="000000"/>
          <w:kern w:val="0"/>
          <w:sz w:val="30"/>
          <w:szCs w:val="30"/>
          <w:highlight w:val="none"/>
          <w:lang w:eastAsia="zh-CN"/>
        </w:rPr>
        <w:t>平方米，</w:t>
      </w:r>
      <w:r>
        <w:rPr>
          <w:rFonts w:hint="eastAsia" w:ascii="CESI仿宋-GB2312" w:hAnsi="CESI仿宋-GB2312" w:eastAsia="CESI仿宋-GB2312" w:cs="CESI仿宋-GB2312"/>
          <w:color w:val="000000"/>
          <w:kern w:val="0"/>
          <w:sz w:val="30"/>
          <w:szCs w:val="30"/>
          <w:highlight w:val="none"/>
        </w:rPr>
        <w:t>图书</w:t>
      </w:r>
      <w:r>
        <w:rPr>
          <w:rFonts w:hint="eastAsia" w:ascii="CESI仿宋-GB2312" w:hAnsi="CESI仿宋-GB2312" w:eastAsia="CESI仿宋-GB2312" w:cs="CESI仿宋-GB2312"/>
          <w:color w:val="000000"/>
          <w:kern w:val="0"/>
          <w:sz w:val="30"/>
          <w:szCs w:val="30"/>
          <w:highlight w:val="none"/>
          <w:lang w:val="en-US" w:eastAsia="zh-CN"/>
        </w:rPr>
        <w:t>1325171</w:t>
      </w:r>
      <w:r>
        <w:rPr>
          <w:rFonts w:hint="eastAsia" w:ascii="CESI仿宋-GB2312" w:hAnsi="CESI仿宋-GB2312" w:eastAsia="CESI仿宋-GB2312" w:cs="CESI仿宋-GB2312"/>
          <w:color w:val="000000"/>
          <w:kern w:val="0"/>
          <w:sz w:val="30"/>
          <w:szCs w:val="30"/>
          <w:highlight w:val="none"/>
        </w:rPr>
        <w:t>册，生均校园占地面积、建筑面积、仪器设备值、图书量和生师比等基本办学条件指标逐年提高，达到国家办学标准，职业学校办学条件明显改善，办学实力进一步增强。</w:t>
      </w:r>
    </w:p>
    <w:p w14:paraId="0D8C351B">
      <w:pPr>
        <w:keepNext w:val="0"/>
        <w:keepLines w:val="0"/>
        <w:pageBreakBefore w:val="0"/>
        <w:widowControl/>
        <w:numPr>
          <w:ilvl w:val="1"/>
          <w:numId w:val="1"/>
        </w:numPr>
        <w:suppressLineNumbers w:val="0"/>
        <w:kinsoku/>
        <w:wordWrap/>
        <w:overflowPunct/>
        <w:topLinePunct w:val="0"/>
        <w:autoSpaceDE/>
        <w:autoSpaceDN/>
        <w:bidi w:val="0"/>
        <w:adjustRightInd/>
        <w:snapToGrid/>
        <w:ind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教师队伍</w:t>
      </w:r>
    </w:p>
    <w:p w14:paraId="7D9772AA">
      <w:pPr>
        <w:keepNext w:val="0"/>
        <w:keepLines w:val="0"/>
        <w:pageBreakBefore w:val="0"/>
        <w:widowControl/>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202</w:t>
      </w:r>
      <w:r>
        <w:rPr>
          <w:rFonts w:hint="eastAsia" w:ascii="CESI仿宋-GB2312" w:hAnsi="CESI仿宋-GB2312" w:eastAsia="CESI仿宋-GB2312" w:cs="CESI仿宋-GB2312"/>
          <w:color w:val="000000"/>
          <w:kern w:val="0"/>
          <w:sz w:val="30"/>
          <w:szCs w:val="30"/>
          <w:highlight w:val="none"/>
          <w:lang w:val="en"/>
        </w:rPr>
        <w:t>5</w:t>
      </w:r>
      <w:r>
        <w:rPr>
          <w:rFonts w:hint="eastAsia" w:ascii="CESI仿宋-GB2312" w:hAnsi="CESI仿宋-GB2312" w:eastAsia="CESI仿宋-GB2312" w:cs="CESI仿宋-GB2312"/>
          <w:color w:val="000000"/>
          <w:kern w:val="0"/>
          <w:sz w:val="30"/>
          <w:szCs w:val="30"/>
          <w:highlight w:val="none"/>
        </w:rPr>
        <w:t>年全市教职工</w:t>
      </w:r>
      <w:r>
        <w:rPr>
          <w:rFonts w:hint="eastAsia" w:ascii="CESI仿宋-GB2312" w:hAnsi="CESI仿宋-GB2312" w:eastAsia="CESI仿宋-GB2312" w:cs="CESI仿宋-GB2312"/>
          <w:color w:val="000000"/>
          <w:kern w:val="0"/>
          <w:sz w:val="30"/>
          <w:szCs w:val="30"/>
          <w:highlight w:val="none"/>
          <w:lang w:val="en-US" w:eastAsia="zh-CN"/>
        </w:rPr>
        <w:t>3463</w:t>
      </w:r>
      <w:r>
        <w:rPr>
          <w:rFonts w:hint="eastAsia" w:ascii="CESI仿宋-GB2312" w:hAnsi="CESI仿宋-GB2312" w:eastAsia="CESI仿宋-GB2312" w:cs="CESI仿宋-GB2312"/>
          <w:color w:val="000000"/>
          <w:kern w:val="0"/>
          <w:sz w:val="30"/>
          <w:szCs w:val="30"/>
          <w:highlight w:val="none"/>
        </w:rPr>
        <w:t>人，专任教师</w:t>
      </w:r>
      <w:r>
        <w:rPr>
          <w:rFonts w:hint="eastAsia" w:ascii="CESI仿宋-GB2312" w:hAnsi="CESI仿宋-GB2312" w:eastAsia="CESI仿宋-GB2312" w:cs="CESI仿宋-GB2312"/>
          <w:color w:val="000000"/>
          <w:kern w:val="0"/>
          <w:sz w:val="30"/>
          <w:szCs w:val="30"/>
          <w:highlight w:val="none"/>
          <w:lang w:val="en-US" w:eastAsia="zh-CN"/>
        </w:rPr>
        <w:t>2872</w:t>
      </w:r>
      <w:r>
        <w:rPr>
          <w:rFonts w:hint="eastAsia" w:ascii="CESI仿宋-GB2312" w:hAnsi="CESI仿宋-GB2312" w:eastAsia="CESI仿宋-GB2312" w:cs="CESI仿宋-GB2312"/>
          <w:color w:val="000000"/>
          <w:kern w:val="0"/>
          <w:sz w:val="30"/>
          <w:szCs w:val="30"/>
          <w:highlight w:val="none"/>
        </w:rPr>
        <w:t>人，</w:t>
      </w:r>
      <w:r>
        <w:rPr>
          <w:rFonts w:hint="eastAsia" w:ascii="CESI仿宋-GB2312" w:hAnsi="CESI仿宋-GB2312" w:eastAsia="CESI仿宋-GB2312" w:cs="CESI仿宋-GB2312"/>
          <w:color w:val="000000"/>
          <w:kern w:val="0"/>
          <w:sz w:val="30"/>
          <w:szCs w:val="30"/>
          <w:highlight w:val="none"/>
          <w:lang w:eastAsia="zh-CN"/>
        </w:rPr>
        <w:t>其中校外教师</w:t>
      </w:r>
      <w:r>
        <w:rPr>
          <w:rFonts w:hint="eastAsia" w:ascii="CESI仿宋-GB2312" w:hAnsi="CESI仿宋-GB2312" w:eastAsia="CESI仿宋-GB2312" w:cs="CESI仿宋-GB2312"/>
          <w:color w:val="000000"/>
          <w:kern w:val="0"/>
          <w:sz w:val="30"/>
          <w:szCs w:val="30"/>
          <w:highlight w:val="none"/>
          <w:lang w:val="en-US" w:eastAsia="zh-CN"/>
        </w:rPr>
        <w:t>117人，行业导师40人。</w:t>
      </w:r>
      <w:r>
        <w:rPr>
          <w:rFonts w:hint="eastAsia" w:ascii="CESI仿宋-GB2312" w:hAnsi="CESI仿宋-GB2312" w:eastAsia="CESI仿宋-GB2312" w:cs="CESI仿宋-GB2312"/>
          <w:color w:val="000000"/>
          <w:kern w:val="0"/>
          <w:sz w:val="30"/>
          <w:szCs w:val="30"/>
          <w:highlight w:val="none"/>
        </w:rPr>
        <w:t>专任教师中</w:t>
      </w:r>
      <w:r>
        <w:rPr>
          <w:rFonts w:hint="eastAsia" w:ascii="CESI仿宋-GB2312" w:hAnsi="CESI仿宋-GB2312" w:eastAsia="CESI仿宋-GB2312" w:cs="CESI仿宋-GB2312"/>
          <w:color w:val="000000"/>
          <w:kern w:val="0"/>
          <w:sz w:val="30"/>
          <w:szCs w:val="30"/>
          <w:highlight w:val="none"/>
          <w:lang w:val="en"/>
        </w:rPr>
        <w:t>“</w:t>
      </w:r>
      <w:r>
        <w:rPr>
          <w:rFonts w:hint="eastAsia" w:ascii="CESI仿宋-GB2312" w:hAnsi="CESI仿宋-GB2312" w:eastAsia="CESI仿宋-GB2312" w:cs="CESI仿宋-GB2312"/>
          <w:color w:val="000000"/>
          <w:kern w:val="0"/>
          <w:sz w:val="30"/>
          <w:szCs w:val="30"/>
          <w:highlight w:val="none"/>
        </w:rPr>
        <w:t>双师型</w:t>
      </w:r>
      <w:r>
        <w:rPr>
          <w:rFonts w:hint="eastAsia" w:ascii="CESI仿宋-GB2312" w:hAnsi="CESI仿宋-GB2312" w:eastAsia="CESI仿宋-GB2312" w:cs="CESI仿宋-GB2312"/>
          <w:color w:val="000000"/>
          <w:kern w:val="0"/>
          <w:sz w:val="30"/>
          <w:szCs w:val="30"/>
          <w:highlight w:val="none"/>
          <w:lang w:val="en"/>
        </w:rPr>
        <w:t>”</w:t>
      </w:r>
      <w:r>
        <w:rPr>
          <w:rFonts w:hint="eastAsia" w:ascii="CESI仿宋-GB2312" w:hAnsi="CESI仿宋-GB2312" w:eastAsia="CESI仿宋-GB2312" w:cs="CESI仿宋-GB2312"/>
          <w:color w:val="000000"/>
          <w:kern w:val="0"/>
          <w:sz w:val="30"/>
          <w:szCs w:val="30"/>
          <w:highlight w:val="none"/>
        </w:rPr>
        <w:t>教师占比45%（高职院校达61.59%），研究生学历占比18%，高级职称教师占比32%。</w:t>
      </w:r>
      <w:r>
        <w:rPr>
          <w:rFonts w:hint="eastAsia" w:ascii="CESI仿宋-GB2312" w:hAnsi="CESI仿宋-GB2312" w:eastAsia="CESI仿宋-GB2312" w:cs="CESI仿宋-GB2312"/>
          <w:color w:val="000000"/>
          <w:kern w:val="0"/>
          <w:sz w:val="30"/>
          <w:szCs w:val="30"/>
          <w:highlight w:val="none"/>
          <w:lang w:val="en-US" w:eastAsia="zh-CN"/>
        </w:rPr>
        <w:t>周口市高度重视职业院校教师队伍建设，切实提升我省职业教育教师队伍整体素质。2025年，共组织475名教师参加各级各类培训。其中：国家级培训89名，省级培训386名。全市职业教育教师能力大赛，评出获奖教学团队23个，2个教学团队在省级竞赛中获奖。全省教师教学设计与展示系列交流活动，8名教师在活动中获奖。开展市级教学研究项目立项27项，结项34项。26名教师参加河南省双师型教师培训，选派15名教师到企业参加河南省职业院校教师企业实践培训。申报并通过省教育厅认定“双师型”教师108名。</w:t>
      </w:r>
    </w:p>
    <w:p w14:paraId="6E57D2F7">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学生发展</w:t>
      </w:r>
    </w:p>
    <w:p w14:paraId="6A56DE4F">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学生素质</w:t>
      </w:r>
      <w:r>
        <w:rPr>
          <w:rFonts w:hint="eastAsia" w:ascii="楷体_GB2312" w:hAnsi="宋体" w:eastAsia="楷体_GB2312" w:cs="楷体_GB2312"/>
          <w:color w:val="000000"/>
          <w:kern w:val="0"/>
          <w:sz w:val="30"/>
          <w:szCs w:val="30"/>
          <w:highlight w:val="none"/>
          <w:lang w:val="en-US" w:eastAsia="zh-CN" w:bidi="ar"/>
        </w:rPr>
        <w:tab/>
      </w:r>
    </w:p>
    <w:p w14:paraId="1A1AC402">
      <w:pPr>
        <w:keepNext w:val="0"/>
        <w:keepLines w:val="0"/>
        <w:pageBreakBefore w:val="0"/>
        <w:widowControl/>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rPr>
      </w:pPr>
      <w:r>
        <w:rPr>
          <w:rFonts w:hint="eastAsia" w:ascii="CESI仿宋-GB2312" w:hAnsi="CESI仿宋-GB2312" w:eastAsia="CESI仿宋-GB2312" w:cs="CESI仿宋-GB2312"/>
          <w:color w:val="000000"/>
          <w:kern w:val="0"/>
          <w:sz w:val="30"/>
          <w:szCs w:val="30"/>
          <w:highlight w:val="none"/>
        </w:rPr>
        <w:t>2025年，全市中等职业学校坚守“德育为首、育人为本”</w:t>
      </w:r>
      <w:r>
        <w:rPr>
          <w:rFonts w:hint="eastAsia" w:ascii="CESI仿宋-GB2312" w:hAnsi="CESI仿宋-GB2312" w:eastAsia="CESI仿宋-GB2312" w:cs="CESI仿宋-GB2312"/>
          <w:color w:val="000000"/>
          <w:kern w:val="0"/>
          <w:sz w:val="30"/>
          <w:szCs w:val="30"/>
          <w:highlight w:val="none"/>
          <w:lang w:eastAsia="zh-CN"/>
        </w:rPr>
        <w:t>的</w:t>
      </w:r>
      <w:r>
        <w:rPr>
          <w:rFonts w:hint="eastAsia" w:ascii="CESI仿宋-GB2312" w:hAnsi="CESI仿宋-GB2312" w:eastAsia="CESI仿宋-GB2312" w:cs="CESI仿宋-GB2312"/>
          <w:color w:val="000000"/>
          <w:kern w:val="0"/>
          <w:sz w:val="30"/>
          <w:szCs w:val="30"/>
          <w:highlight w:val="none"/>
        </w:rPr>
        <w:t>办学理念，以</w:t>
      </w:r>
      <w:r>
        <w:rPr>
          <w:rFonts w:hint="eastAsia" w:ascii="CESI仿宋-GB2312" w:hAnsi="CESI仿宋-GB2312" w:eastAsia="CESI仿宋-GB2312" w:cs="CESI仿宋-GB2312"/>
          <w:color w:val="000000"/>
          <w:sz w:val="30"/>
          <w:szCs w:val="30"/>
          <w:highlight w:val="none"/>
        </w:rPr>
        <w:t>落实立德树人根本任务为核心，将思想政治教育与技能培养深度融合，推动学生全面发展。各学校深入学习贯彻党的二十大及二十届历次全会精神，践行习近平新时代中国特色社会主义思想，通过集中学习、专题讲座、知识竞赛、志愿活动、汇报展演等多种渠道、多种形式提高学生思想政治素养。以思政课为核心阵地，开足开齐“哲学与人生”“形势与政策”“法律基础”等课程，同时依托校园广播、文化展板、主题班会等载体，常态化开展爱国主义、传统美德、职业道德及心理健康教育。在注重德育建设的同时，全市中职学校还注重对学生工匠精神、职业道德、职业技能和就业创业能力的教育和培养，搭建全员参与、全程全方位育人平台</w:t>
      </w:r>
      <w:r>
        <w:rPr>
          <w:rFonts w:hint="eastAsia" w:ascii="CESI仿宋-GB2312" w:hAnsi="CESI仿宋-GB2312" w:eastAsia="CESI仿宋-GB2312" w:cs="CESI仿宋-GB2312"/>
          <w:color w:val="000000"/>
          <w:sz w:val="30"/>
          <w:szCs w:val="30"/>
          <w:highlight w:val="none"/>
          <w:lang w:eastAsia="zh-CN"/>
        </w:rPr>
        <w:t>。</w:t>
      </w:r>
      <w:r>
        <w:rPr>
          <w:rFonts w:hint="eastAsia" w:ascii="CESI仿宋-GB2312" w:hAnsi="CESI仿宋-GB2312" w:eastAsia="CESI仿宋-GB2312" w:cs="CESI仿宋-GB2312"/>
          <w:color w:val="000000"/>
          <w:sz w:val="30"/>
          <w:szCs w:val="30"/>
          <w:highlight w:val="none"/>
        </w:rPr>
        <w:t>全市中职学校将技能大赛作为核心抓手，构建“以赛促教、以赛促学、以赛促练”育人机制，通过技能大赛搭建实践展示平台，不仅锤炼了学生的专业技能，更强化了精益求精的工匠精神和爱岗敬业的职业素养，全面提升学生就业创业核心竞争力，推动德育与技能培养协同增效。围绕“技能成才、强国有我”主题，</w:t>
      </w:r>
      <w:r>
        <w:rPr>
          <w:rFonts w:hint="eastAsia" w:ascii="CESI仿宋-GB2312" w:hAnsi="CESI仿宋-GB2312" w:eastAsia="CESI仿宋-GB2312" w:cs="CESI仿宋-GB2312"/>
          <w:color w:val="000000"/>
          <w:sz w:val="30"/>
          <w:szCs w:val="30"/>
          <w:highlight w:val="none"/>
          <w:lang w:eastAsia="zh-CN"/>
        </w:rPr>
        <w:t>开展职业教育活动周。</w:t>
      </w:r>
      <w:r>
        <w:rPr>
          <w:rFonts w:hint="eastAsia" w:ascii="CESI仿宋-GB2312" w:hAnsi="CESI仿宋-GB2312" w:eastAsia="CESI仿宋-GB2312" w:cs="CESI仿宋-GB2312"/>
          <w:color w:val="000000"/>
          <w:sz w:val="30"/>
          <w:szCs w:val="30"/>
          <w:highlight w:val="none"/>
        </w:rPr>
        <w:t>整合德育与职业教育资源，通过技能成果展示、优秀工匠事迹宣讲、职业素养论坛、校企合作成果展等多元形式，搭建育人平台。活动中，既展示学生专业技能风采，又深入传播精益求精的工匠精神和爱岗敬业的职业操守，让学生在沉浸式体验中强化职业认同、提升道德素养，实现思想政治教育、职业道德培育与职业技能提升的有机统一，全面促进学生德智体美劳全面发展。</w:t>
      </w:r>
    </w:p>
    <w:p w14:paraId="2C3C34C8">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就业质量</w:t>
      </w:r>
    </w:p>
    <w:p w14:paraId="370944EC">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rPr>
        <w:t>近年来，为精准赋能中职学生就业创业，国家和河南省聚焦技能人才培养特色，出台系列靶向性支持政策。国家层面印发《人力资源社会保障部 教育部等七部门关于健全创业支持体系提升创业质量的意见》，将中职学生纳入重点扶持群体，推行“技能＋创业”“劳务品牌＋创业”双轨培训模式</w:t>
      </w: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出台《周口市深化产教融合若干措施》，明确政府、企业、学校在产教融合中的权利和义务，建立联席会议制度，统筹推进职业教育高质量发展。完善职业教育督导评估机制，将职业教育发展情况纳入政府绩效考核，建立定期督导和通报制度。落实职业学校毕业生在落户、就业、参加招录（聘）、职称评聘、晋升等方面与普通学校毕业生享受同等待遇的政策，提高职业教育吸引力。围绕</w:t>
      </w: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装备制造、现代农业、临港经济、生物医药四大主导产业，建成机电一体化、智能制造等5个省级以上高水平专业群。其中，装备制造类专业68个，本地就业率达92%；现代农业类专业32个，本地就业率85%</w:t>
      </w:r>
      <w:r>
        <w:rPr>
          <w:rFonts w:hint="eastAsia" w:ascii="CESI仿宋-GB2312" w:hAnsi="CESI仿宋-GB2312" w:eastAsia="CESI仿宋-GB2312" w:cs="CESI仿宋-GB2312"/>
          <w:color w:val="000000"/>
          <w:sz w:val="30"/>
          <w:szCs w:val="30"/>
          <w:highlight w:val="none"/>
          <w:lang w:eastAsia="zh-CN"/>
        </w:rPr>
        <w:t>。</w:t>
      </w:r>
    </w:p>
    <w:p w14:paraId="6E11E8BA">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质量保障措施</w:t>
      </w:r>
    </w:p>
    <w:p w14:paraId="12D036BE">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专业布局</w:t>
      </w:r>
    </w:p>
    <w:p w14:paraId="3F377A92">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周口市职业教育紧扣“临港新城、开放前沿”城市定位，以“技能河南”建设为引领，围绕周口市装备制造、现代农业、临港经济、生物医药四大主导产业，制订专业调整方案，优化专业结构，动态调整专业布局，优化专业设置，融合新技术，设置新方向，着力打造特色专业，努力形成校校有品牌、校校有特色的发展新格局。目前全市职业院校开设专业251个，建成机电一体化、智能制造等5个省级以上高水平专业群。其中，装备制造类专业68个，本地就业率达92%；现代农业类专业32个，本地就业率85%，周口职业技术学院“田间课堂”累计为金丹乳酸等企业培养技术骨干800余人；临港经济类专业从 2020年的3个增至12个，周口职业技术学院新增港口与航运管理专业，与周口港口集团共建智慧港航实训中心，已培养专业人才300余人。各职业学校主动服务动能转化和产业升级，推动转型发展，支撑高质量发展。</w:t>
      </w:r>
    </w:p>
    <w:p w14:paraId="5A31E9F8">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质量保证</w:t>
      </w:r>
    </w:p>
    <w:p w14:paraId="329A45B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3.2.1质量监控体系建设</w:t>
      </w:r>
    </w:p>
    <w:p w14:paraId="7137403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2025年周口市紧扣职业教育高质量发展主线，以《教育强国建设规划纲要（2024-2035 年）》《职业教育质量评价规定》为遵循，结合本地中职教育发展实际，严格构建质量监控体系。要求学校按照专业教学标准、培养目标、课程设置、实训实习环境等相关要求制订教学计划，加强专业师资队伍和实训基地建设，创新人才培养模式，弘扬工匠精神，提升学生综合素质。发布《关于进一步加强河南省中等职业学校招生和学籍管理工作的通知》规范招生和学籍管理工作，防范化解招生和学籍管理工作中存在的隐患。印发《关于加强全市大中专院校学生实习安全管理工作的通知》，贯彻落实职业学校学生实习管理规定、强化实习期间动态监管、完善《实习突发事件应急预案》把实习安全管理各项措施落到实处，坚决保障学生人身安全与合法权益。</w:t>
      </w:r>
    </w:p>
    <w:p w14:paraId="3BAC50FA">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3.2.2项目建设</w:t>
      </w:r>
    </w:p>
    <w:p w14:paraId="0807ECD1">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val="en-US" w:eastAsia="zh-CN"/>
        </w:rPr>
      </w:pPr>
      <w:r>
        <w:rPr>
          <w:rFonts w:hint="eastAsia" w:ascii="CESI仿宋-GB2312" w:hAnsi="CESI仿宋-GB2312" w:eastAsia="CESI仿宋-GB2312" w:cs="CESI仿宋-GB2312"/>
          <w:color w:val="000000"/>
          <w:sz w:val="30"/>
          <w:szCs w:val="30"/>
          <w:highlight w:val="none"/>
          <w:lang w:eastAsia="zh-CN"/>
        </w:rPr>
        <w:t>我们以项目建设为抓手，要求县市和学校树立争先意识、创优意识和机遇意识，指导动员他们，挖掘潜力，创造条件，发展学校，提升品质，帮助、督促他们硬件从实、软件从严，务实求进，突出重点，攻破难点，把握节点，创造亮点，在资金投入、建设标准，推进时序等方面加强过程督导和质量把关，持续提高学校基础能力建设水平，不断提高学校管理的规范化、精细化、科学化水平。</w:t>
      </w:r>
    </w:p>
    <w:p w14:paraId="069B741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3.2.</w:t>
      </w:r>
      <w:r>
        <w:rPr>
          <w:rFonts w:hint="eastAsia" w:ascii="CESI仿宋-GB2312" w:hAnsi="CESI仿宋-GB2312" w:eastAsia="CESI仿宋-GB2312" w:cs="CESI仿宋-GB2312"/>
          <w:color w:val="000000"/>
          <w:sz w:val="30"/>
          <w:szCs w:val="30"/>
          <w:highlight w:val="none"/>
          <w:lang w:val="en-US" w:eastAsia="zh-CN"/>
        </w:rPr>
        <w:t>3</w:t>
      </w:r>
      <w:r>
        <w:rPr>
          <w:rFonts w:hint="eastAsia" w:ascii="CESI仿宋-GB2312" w:hAnsi="CESI仿宋-GB2312" w:eastAsia="CESI仿宋-GB2312" w:cs="CESI仿宋-GB2312"/>
          <w:color w:val="000000"/>
          <w:sz w:val="30"/>
          <w:szCs w:val="30"/>
          <w:highlight w:val="none"/>
          <w:lang w:eastAsia="zh-CN"/>
        </w:rPr>
        <w:t>技能竞赛</w:t>
      </w:r>
    </w:p>
    <w:p w14:paraId="54D55468">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val="en-US" w:eastAsia="zh-CN"/>
        </w:rPr>
      </w:pPr>
      <w:r>
        <w:rPr>
          <w:rFonts w:hint="eastAsia" w:ascii="CESI仿宋-GB2312" w:hAnsi="CESI仿宋-GB2312" w:eastAsia="CESI仿宋-GB2312" w:cs="CESI仿宋-GB2312"/>
          <w:color w:val="000000"/>
          <w:sz w:val="30"/>
          <w:szCs w:val="30"/>
          <w:highlight w:val="none"/>
          <w:lang w:eastAsia="zh-CN"/>
        </w:rPr>
        <w:t>周口市对职业学校竞赛活动高度重视，积极动员，克服困难，跟踪问效，力求工作实效。2025年，周口市中职学校在省级技能大赛与文明风采活动中斩获丰硕成果，参赛实力与育人成效显著提升。周口市中职学校在省级技能大赛与文明风采活动中，累计获得 36项一等奖、103项二等奖、172项三等奖，总计311项省级奖项。其中，技能大赛类获一等奖18项、二等奖47项、三等奖70项；文明风采类获一等奖18项、二等奖56项、三等奖102项，全面展现了全市中职教育技能培养与综合素质培育的扎实成效。获奖项目覆盖多所中职学校，充分展现了全市中职教育在技能培养、德育建设与综合素质培育方面的扎实成效，彰显了“以赛促教、以赛促学”的育人成果。</w:t>
      </w:r>
    </w:p>
    <w:p w14:paraId="4B7E8DE8">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师资建设</w:t>
      </w:r>
    </w:p>
    <w:p w14:paraId="5003FEF3">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多措并举提升教师素质，着力打造一支师德高尚、业务精湛、结构合理的教师队伍。</w:t>
      </w:r>
      <w:r>
        <w:rPr>
          <w:rFonts w:hint="eastAsia" w:ascii="CESI仿宋-GB2312" w:hAnsi="CESI仿宋-GB2312" w:eastAsia="CESI仿宋-GB2312" w:cs="CESI仿宋-GB2312"/>
          <w:color w:val="000000"/>
          <w:sz w:val="30"/>
          <w:szCs w:val="30"/>
          <w:highlight w:val="none"/>
          <w:lang w:eastAsia="zh-CN"/>
        </w:rPr>
        <w:t>通</w:t>
      </w:r>
      <w:r>
        <w:rPr>
          <w:rFonts w:hint="eastAsia" w:ascii="CESI仿宋-GB2312" w:hAnsi="CESI仿宋-GB2312" w:eastAsia="CESI仿宋-GB2312" w:cs="CESI仿宋-GB2312"/>
          <w:color w:val="000000"/>
          <w:sz w:val="30"/>
          <w:szCs w:val="30"/>
          <w:highlight w:val="none"/>
        </w:rPr>
        <w:t>过内部挖掘、外出学习和赴企业实践，进一步扩充“双师型”教师队伍，提升专业课教师素质；</w:t>
      </w:r>
      <w:r>
        <w:rPr>
          <w:rFonts w:hint="eastAsia" w:ascii="CESI仿宋-GB2312" w:hAnsi="CESI仿宋-GB2312" w:eastAsia="CESI仿宋-GB2312" w:cs="CESI仿宋-GB2312"/>
          <w:color w:val="000000"/>
          <w:sz w:val="30"/>
          <w:szCs w:val="30"/>
          <w:highlight w:val="none"/>
          <w:lang w:val="en-US" w:eastAsia="zh-CN"/>
        </w:rPr>
        <w:t>今年，我们选派26名教师参加河南省双师型教师培训，选派15名教师到企业参加河南省职业院校教师企业实践培训。申报并通过省教育厅认定“双师型”教师108名。</w:t>
      </w:r>
    </w:p>
    <w:p w14:paraId="342FC868">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校企合作</w:t>
      </w:r>
    </w:p>
    <w:p w14:paraId="14F4A5CF">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校企合作开展情况和效果</w:t>
      </w:r>
    </w:p>
    <w:p w14:paraId="5E8E9794">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rPr>
      </w:pPr>
      <w:r>
        <w:rPr>
          <w:rFonts w:hint="eastAsia" w:ascii="CESI仿宋-GB2312" w:hAnsi="CESI仿宋-GB2312" w:eastAsia="CESI仿宋-GB2312" w:cs="CESI仿宋-GB2312"/>
          <w:sz w:val="30"/>
          <w:szCs w:val="30"/>
          <w:highlight w:val="none"/>
        </w:rPr>
        <w:t>职业教育是支撑区域经济社会高质量发展的核心力量，产教融合</w:t>
      </w:r>
      <w:r>
        <w:rPr>
          <w:rFonts w:hint="eastAsia" w:ascii="CESI仿宋-GB2312" w:hAnsi="CESI仿宋-GB2312" w:eastAsia="CESI仿宋-GB2312" w:cs="CESI仿宋-GB2312"/>
          <w:sz w:val="30"/>
          <w:szCs w:val="30"/>
          <w:highlight w:val="none"/>
          <w:lang w:eastAsia="zh-CN"/>
        </w:rPr>
        <w:t>、校企合作</w:t>
      </w:r>
      <w:r>
        <w:rPr>
          <w:rFonts w:hint="eastAsia" w:ascii="CESI仿宋-GB2312" w:hAnsi="CESI仿宋-GB2312" w:eastAsia="CESI仿宋-GB2312" w:cs="CESI仿宋-GB2312"/>
          <w:sz w:val="30"/>
          <w:szCs w:val="30"/>
          <w:highlight w:val="none"/>
        </w:rPr>
        <w:t>则是职业教育对接产业需求、培育高素质技能人才的关键路径。截至2025年，周口市已形成“本科引领、高职支撑、技师衔接、中职基础”的多层次职业教育格局，为产教融合提供坚实载体</w:t>
      </w:r>
      <w:r>
        <w:rPr>
          <w:rFonts w:hint="eastAsia" w:ascii="CESI仿宋-GB2312" w:hAnsi="CESI仿宋-GB2312" w:eastAsia="CESI仿宋-GB2312" w:cs="CESI仿宋-GB2312"/>
          <w:sz w:val="30"/>
          <w:szCs w:val="30"/>
          <w:highlight w:val="none"/>
          <w:lang w:eastAsia="zh-CN"/>
        </w:rPr>
        <w:t>。</w:t>
      </w:r>
      <w:r>
        <w:rPr>
          <w:rFonts w:hint="eastAsia" w:ascii="CESI仿宋-GB2312" w:hAnsi="CESI仿宋-GB2312" w:eastAsia="CESI仿宋-GB2312" w:cs="CESI仿宋-GB2312"/>
          <w:sz w:val="30"/>
          <w:szCs w:val="30"/>
          <w:highlight w:val="none"/>
        </w:rPr>
        <w:t>全市职业院校共开设103个专业，覆盖工、农、医、</w:t>
      </w:r>
      <w:r>
        <w:rPr>
          <w:rFonts w:hint="eastAsia" w:ascii="CESI仿宋-GB2312" w:hAnsi="CESI仿宋-GB2312" w:eastAsia="CESI仿宋-GB2312" w:cs="CESI仿宋-GB2312"/>
          <w:sz w:val="30"/>
          <w:szCs w:val="30"/>
          <w:highlight w:val="none"/>
          <w:lang w:eastAsia="zh-CN"/>
        </w:rPr>
        <w:t>师</w:t>
      </w:r>
      <w:r>
        <w:rPr>
          <w:rFonts w:hint="eastAsia" w:ascii="CESI仿宋-GB2312" w:hAnsi="CESI仿宋-GB2312" w:eastAsia="CESI仿宋-GB2312" w:cs="CESI仿宋-GB2312"/>
          <w:sz w:val="30"/>
          <w:szCs w:val="30"/>
          <w:highlight w:val="none"/>
        </w:rPr>
        <w:t>四大领域，重点围绕周口“3个千亿级、3个五百亿级”主导产业（纺织服装、食品加工、装备制造、电子信息、新型建材、临港经济）动态调整专业结构</w:t>
      </w:r>
      <w:r>
        <w:rPr>
          <w:rFonts w:hint="eastAsia" w:ascii="CESI仿宋-GB2312" w:hAnsi="CESI仿宋-GB2312" w:eastAsia="CESI仿宋-GB2312" w:cs="CESI仿宋-GB2312"/>
          <w:sz w:val="30"/>
          <w:szCs w:val="30"/>
          <w:highlight w:val="none"/>
          <w:lang w:eastAsia="zh-CN"/>
        </w:rPr>
        <w:t>。</w:t>
      </w:r>
      <w:r>
        <w:rPr>
          <w:rFonts w:hint="eastAsia" w:ascii="CESI仿宋-GB2312" w:hAnsi="CESI仿宋-GB2312" w:eastAsia="CESI仿宋-GB2312" w:cs="CESI仿宋-GB2312"/>
          <w:sz w:val="30"/>
          <w:szCs w:val="30"/>
          <w:highlight w:val="none"/>
        </w:rPr>
        <w:t>对接装备制造、电子信息产业</w:t>
      </w:r>
      <w:r>
        <w:rPr>
          <w:rFonts w:hint="eastAsia" w:ascii="CESI仿宋-GB2312" w:hAnsi="CESI仿宋-GB2312" w:eastAsia="CESI仿宋-GB2312" w:cs="CESI仿宋-GB2312"/>
          <w:sz w:val="30"/>
          <w:szCs w:val="30"/>
          <w:highlight w:val="none"/>
          <w:lang w:eastAsia="zh-CN"/>
        </w:rPr>
        <w:t>各学校</w:t>
      </w:r>
      <w:r>
        <w:rPr>
          <w:rFonts w:hint="eastAsia" w:ascii="CESI仿宋-GB2312" w:hAnsi="CESI仿宋-GB2312" w:eastAsia="CESI仿宋-GB2312" w:cs="CESI仿宋-GB2312"/>
          <w:sz w:val="30"/>
          <w:szCs w:val="30"/>
          <w:highlight w:val="none"/>
        </w:rPr>
        <w:t>开设机电一体化、工业机器人、智能检测等专业68个，本地就业率达92%；对接纺织服装、食品加工千亿产业</w:t>
      </w:r>
      <w:r>
        <w:rPr>
          <w:rFonts w:hint="eastAsia" w:ascii="CESI仿宋-GB2312" w:hAnsi="CESI仿宋-GB2312" w:eastAsia="CESI仿宋-GB2312" w:cs="CESI仿宋-GB2312"/>
          <w:sz w:val="30"/>
          <w:szCs w:val="30"/>
          <w:highlight w:val="none"/>
          <w:lang w:eastAsia="zh-CN"/>
        </w:rPr>
        <w:t>各学校</w:t>
      </w:r>
      <w:r>
        <w:rPr>
          <w:rFonts w:hint="eastAsia" w:ascii="CESI仿宋-GB2312" w:hAnsi="CESI仿宋-GB2312" w:eastAsia="CESI仿宋-GB2312" w:cs="CESI仿宋-GB2312"/>
          <w:sz w:val="30"/>
          <w:szCs w:val="30"/>
          <w:highlight w:val="none"/>
        </w:rPr>
        <w:t>开设现代纺织技术、服装设计、食品检测等专业32个，与盛泰纺织、阿尔本服装等龙头企业深度合作；对接临港经济新兴产业</w:t>
      </w:r>
      <w:r>
        <w:rPr>
          <w:rFonts w:hint="eastAsia" w:ascii="CESI仿宋-GB2312" w:hAnsi="CESI仿宋-GB2312" w:eastAsia="CESI仿宋-GB2312" w:cs="CESI仿宋-GB2312"/>
          <w:sz w:val="30"/>
          <w:szCs w:val="30"/>
          <w:highlight w:val="none"/>
          <w:lang w:eastAsia="zh-CN"/>
        </w:rPr>
        <w:t>各学校</w:t>
      </w:r>
      <w:r>
        <w:rPr>
          <w:rFonts w:hint="eastAsia" w:ascii="CESI仿宋-GB2312" w:hAnsi="CESI仿宋-GB2312" w:eastAsia="CESI仿宋-GB2312" w:cs="CESI仿宋-GB2312"/>
          <w:sz w:val="30"/>
          <w:szCs w:val="30"/>
          <w:highlight w:val="none"/>
        </w:rPr>
        <w:t>新增港口与航道工程技术、港口物流管理等专业12个，本地就业率65%；对接生物医药、现代农业</w:t>
      </w:r>
      <w:r>
        <w:rPr>
          <w:rFonts w:hint="eastAsia" w:ascii="CESI仿宋-GB2312" w:hAnsi="CESI仿宋-GB2312" w:eastAsia="CESI仿宋-GB2312" w:cs="CESI仿宋-GB2312"/>
          <w:sz w:val="30"/>
          <w:szCs w:val="30"/>
          <w:highlight w:val="none"/>
          <w:lang w:eastAsia="zh-CN"/>
        </w:rPr>
        <w:t>产业各学校</w:t>
      </w:r>
      <w:r>
        <w:rPr>
          <w:rFonts w:hint="eastAsia" w:ascii="CESI仿宋-GB2312" w:hAnsi="CESI仿宋-GB2312" w:eastAsia="CESI仿宋-GB2312" w:cs="CESI仿宋-GB2312"/>
          <w:sz w:val="30"/>
          <w:szCs w:val="30"/>
          <w:highlight w:val="none"/>
        </w:rPr>
        <w:t>开设药学、康复治疗、畜牧兽医等专业24个，与乐普药业、金丹乳酸等企业共建研发项目。</w:t>
      </w:r>
    </w:p>
    <w:p w14:paraId="745935A4">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lang w:eastAsia="zh-CN"/>
        </w:rPr>
      </w:pPr>
      <w:r>
        <w:rPr>
          <w:rFonts w:hint="eastAsia" w:ascii="CESI仿宋-GB2312" w:hAnsi="CESI仿宋-GB2312" w:eastAsia="CESI仿宋-GB2312" w:cs="CESI仿宋-GB2312"/>
          <w:sz w:val="30"/>
          <w:szCs w:val="30"/>
          <w:highlight w:val="none"/>
          <w:lang w:eastAsia="zh-CN"/>
        </w:rPr>
        <w:t>目前</w:t>
      </w:r>
      <w:r>
        <w:rPr>
          <w:rFonts w:hint="eastAsia" w:ascii="CESI仿宋-GB2312" w:hAnsi="CESI仿宋-GB2312" w:eastAsia="CESI仿宋-GB2312" w:cs="CESI仿宋-GB2312"/>
          <w:sz w:val="30"/>
          <w:szCs w:val="30"/>
          <w:highlight w:val="none"/>
        </w:rPr>
        <w:t>全市职业院校累计与百度、腾讯、京东、富士康、耕德电子等200余家大中型企业建立合作关系，高职院校开展校企合作项目254个，覆盖56个专业，其中河南科技职业大学单独与近200家企业合作，开展项目135个。共建产业学院、研发中心、实训基地等载体超300个，例如：河南科技职业大学与腾讯共建 “腾讯云学院”、与京东共建“京东管理学院”，联合攻关省级产教融合项目；周口职业技术学院牵头组建“周口临港开发区产教联合体”（25家单位参与）、“河南纺织服装行业产教融合共同体”；周口理工职业学院与富士康共建“智能制造工程技术研究中心”，投入设备超1000万元。</w:t>
      </w:r>
    </w:p>
    <w:p w14:paraId="1104D5E0">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学生实习情况</w:t>
      </w:r>
    </w:p>
    <w:p w14:paraId="11D6697B">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eastAsia="zh-CN"/>
        </w:rPr>
      </w:pPr>
      <w:r>
        <w:rPr>
          <w:rFonts w:hint="eastAsia" w:ascii="CESI仿宋-GB2312" w:hAnsi="CESI仿宋-GB2312" w:eastAsia="CESI仿宋-GB2312" w:cs="CESI仿宋-GB2312"/>
          <w:color w:val="000000"/>
          <w:kern w:val="0"/>
          <w:sz w:val="30"/>
          <w:szCs w:val="30"/>
          <w:highlight w:val="none"/>
        </w:rPr>
        <w:t>2025年周口市针对部分院校实习安全管理漏洞及学生实习意外事件教训，深入贯彻“生命至上、安全第一”理念，以全链条管控为核心，扎实推进大中专院校学生实习安全管理工作，成效显著。</w:t>
      </w:r>
      <w:r>
        <w:rPr>
          <w:rFonts w:hint="eastAsia" w:ascii="CESI仿宋-GB2312" w:hAnsi="CESI仿宋-GB2312" w:eastAsia="CESI仿宋-GB2312" w:cs="CESI仿宋-GB2312"/>
          <w:color w:val="000000"/>
          <w:kern w:val="0"/>
          <w:sz w:val="30"/>
          <w:szCs w:val="30"/>
          <w:highlight w:val="none"/>
          <w:lang w:eastAsia="zh-CN"/>
        </w:rPr>
        <w:t>发布《中共周口市委教育工委办公室 周口市教育体育局关于加强全市大中专院校学生实习安全管理工作的通知》（</w:t>
      </w:r>
      <w:r>
        <w:rPr>
          <w:rFonts w:hint="eastAsia" w:ascii="CESI仿宋-GB2312" w:hAnsi="CESI仿宋-GB2312" w:eastAsia="CESI仿宋-GB2312" w:cs="CESI仿宋-GB2312"/>
          <w:color w:val="000000"/>
          <w:sz w:val="30"/>
          <w:szCs w:val="30"/>
          <w:highlight w:val="none"/>
          <w:lang w:val="en-US" w:eastAsia="zh-CN"/>
        </w:rPr>
        <w:t>周教工委办〔2025〕12号</w:t>
      </w:r>
      <w:r>
        <w:rPr>
          <w:rFonts w:hint="eastAsia" w:ascii="CESI仿宋-GB2312" w:hAnsi="CESI仿宋-GB2312" w:eastAsia="CESI仿宋-GB2312" w:cs="CESI仿宋-GB2312"/>
          <w:color w:val="000000"/>
          <w:kern w:val="0"/>
          <w:sz w:val="30"/>
          <w:szCs w:val="30"/>
          <w:highlight w:val="none"/>
          <w:lang w:eastAsia="zh-CN"/>
        </w:rPr>
        <w:t>）要求各职业院校</w:t>
      </w:r>
      <w:r>
        <w:rPr>
          <w:rFonts w:hint="eastAsia" w:ascii="CESI仿宋-GB2312" w:hAnsi="CESI仿宋-GB2312" w:eastAsia="CESI仿宋-GB2312" w:cs="CESI仿宋-GB2312"/>
          <w:color w:val="000000"/>
          <w:kern w:val="0"/>
          <w:sz w:val="30"/>
          <w:szCs w:val="30"/>
          <w:highlight w:val="none"/>
        </w:rPr>
        <w:t>均成立校领导牵头的实习安全管理专班，制定《实习安全管理细则》，明确教务部门、院系、指导教师三级责任，杜绝第三方中介安排实习，确保学生实习险“应保尽保”。强化实习单位协同责任，开展“资质 + 安全” 双审核，终止不合规合作并签订《安全管理协同协议》，明确安全培训、现场管理等责任。落实市县监管责任，县（市、区）教体局对属地中职学校“全覆盖”监管</w:t>
      </w:r>
      <w:r>
        <w:rPr>
          <w:rFonts w:hint="eastAsia" w:ascii="CESI仿宋-GB2312" w:hAnsi="CESI仿宋-GB2312" w:eastAsia="CESI仿宋-GB2312" w:cs="CESI仿宋-GB2312"/>
          <w:color w:val="000000"/>
          <w:kern w:val="0"/>
          <w:sz w:val="30"/>
          <w:szCs w:val="30"/>
          <w:highlight w:val="none"/>
          <w:lang w:eastAsia="zh-CN"/>
        </w:rPr>
        <w:t>。所有院校联合实习单位修订应急预案，覆盖工伤、疾病等场景，明确1小时内上报路径，每学期至少开展1次应急演练。同时，通过专项督导、季度报送、严肃追责等措施，压实各方责任，有效保障了学生实习期间人身安全与合法权益。</w:t>
      </w:r>
    </w:p>
    <w:p w14:paraId="1C18556B">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社会贡献</w:t>
      </w:r>
    </w:p>
    <w:p w14:paraId="29B6F12C">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技术技能人才培养</w:t>
      </w:r>
    </w:p>
    <w:p w14:paraId="4798689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2025年，周口市教育体育局深入贯彻“技能照亮前程”培训行动及《周口市职业技能培训三年行动方案（2025-2027 年）》部署要求，以服务“临港新城、开放前沿”发展定位为核心，聚焦区域四大特色产业板块技能需求，扎实推进职业技能提升各项工作，超额完成年度目标任务，为全市高质量发展注入强劲技能人才动力。年初设定职业技能培训40800人、新增高技能人才11600人的目标，截至年末，实际完成各类职业技能培训58259人，完成率达143%，其中补贴性培训3502人、非补贴性培训54757人；新增技能人才13112人，其中高技能人才13068人，高技能人才目标完成率113%，技能人才队伍规模持续壮大、结构不断优化。</w:t>
      </w:r>
    </w:p>
    <w:p w14:paraId="1BFB9534">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社会服务</w:t>
      </w:r>
    </w:p>
    <w:p w14:paraId="3F6EC996">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rPr>
      </w:pP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中职学校坚持学历教育与职业培训并重，</w:t>
      </w:r>
      <w:r>
        <w:rPr>
          <w:rFonts w:hint="eastAsia" w:ascii="CESI仿宋-GB2312" w:hAnsi="CESI仿宋-GB2312" w:eastAsia="CESI仿宋-GB2312" w:cs="CESI仿宋-GB2312"/>
          <w:color w:val="000000"/>
          <w:sz w:val="30"/>
          <w:szCs w:val="30"/>
          <w:highlight w:val="none"/>
          <w:lang w:val="en"/>
        </w:rPr>
        <w:t>以提高质量、促进就业、服务发展为方向，不断提高技术技能人才培养的数量和质量，持续提升职业教育对社会经济发展的贡献率和支撑度，推动全市技能人才队伍梯次发展，有效服务</w:t>
      </w:r>
      <w:r>
        <w:rPr>
          <w:rFonts w:hint="eastAsia" w:ascii="CESI仿宋-GB2312" w:hAnsi="CESI仿宋-GB2312" w:eastAsia="CESI仿宋-GB2312" w:cs="CESI仿宋-GB2312"/>
          <w:color w:val="000000"/>
          <w:sz w:val="30"/>
          <w:szCs w:val="30"/>
          <w:highlight w:val="none"/>
          <w:lang w:val="en" w:eastAsia="zh-CN"/>
        </w:rPr>
        <w:t>周口市</w:t>
      </w:r>
      <w:r>
        <w:rPr>
          <w:rFonts w:hint="eastAsia" w:ascii="CESI仿宋-GB2312" w:hAnsi="CESI仿宋-GB2312" w:eastAsia="CESI仿宋-GB2312" w:cs="CESI仿宋-GB2312"/>
          <w:color w:val="000000"/>
          <w:sz w:val="30"/>
          <w:szCs w:val="30"/>
          <w:highlight w:val="none"/>
          <w:lang w:val="en"/>
        </w:rPr>
        <w:t>产业结构调整和企业优化升级</w:t>
      </w:r>
      <w:r>
        <w:rPr>
          <w:rFonts w:hint="eastAsia" w:ascii="CESI仿宋-GB2312" w:hAnsi="CESI仿宋-GB2312" w:eastAsia="CESI仿宋-GB2312" w:cs="CESI仿宋-GB2312"/>
          <w:color w:val="000000"/>
          <w:sz w:val="30"/>
          <w:szCs w:val="30"/>
          <w:highlight w:val="none"/>
        </w:rPr>
        <w:t>。</w:t>
      </w:r>
    </w:p>
    <w:p w14:paraId="36C1FA7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val="en"/>
        </w:rPr>
      </w:pPr>
      <w:r>
        <w:rPr>
          <w:rFonts w:hint="default" w:ascii="CESI仿宋-GB2312" w:hAnsi="CESI仿宋-GB2312" w:eastAsia="CESI仿宋-GB2312" w:cs="CESI仿宋-GB2312"/>
          <w:color w:val="000000"/>
          <w:sz w:val="30"/>
          <w:szCs w:val="30"/>
          <w:highlight w:val="none"/>
          <w:lang w:val="en"/>
        </w:rPr>
        <w:t>2025</w:t>
      </w:r>
      <w:r>
        <w:rPr>
          <w:rFonts w:hint="eastAsia" w:ascii="CESI仿宋-GB2312" w:hAnsi="CESI仿宋-GB2312" w:eastAsia="CESI仿宋-GB2312" w:cs="CESI仿宋-GB2312"/>
          <w:color w:val="000000"/>
          <w:sz w:val="30"/>
          <w:szCs w:val="30"/>
          <w:highlight w:val="none"/>
          <w:lang w:val="en" w:eastAsia="zh-CN"/>
        </w:rPr>
        <w:t>年</w:t>
      </w:r>
      <w:r>
        <w:rPr>
          <w:rFonts w:hint="eastAsia" w:ascii="CESI仿宋-GB2312" w:hAnsi="CESI仿宋-GB2312" w:eastAsia="CESI仿宋-GB2312" w:cs="CESI仿宋-GB2312"/>
          <w:color w:val="000000"/>
          <w:sz w:val="30"/>
          <w:szCs w:val="30"/>
          <w:highlight w:val="none"/>
          <w:lang w:val="en"/>
        </w:rPr>
        <w:t>通过精心选点，跟踪指导，创造条件，提升水平，开创社区教育工作新局面、新气象。周口市老年大学被河南省教育厅认定为河南省老年大学特色发展项目。全市实现社区学院全覆盖，项城市、商水县为河南省社区教育示范区。</w:t>
      </w:r>
    </w:p>
    <w:p w14:paraId="7503D99A">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政府履职</w:t>
      </w:r>
    </w:p>
    <w:p w14:paraId="0D6ABC57">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抓教育就是抓发展，抓教育就是谋未来。市委、市政府把发展职业教育摆在空前优先发展的战略位置</w:t>
      </w:r>
      <w:r>
        <w:rPr>
          <w:rFonts w:hint="eastAsia" w:ascii="CESI仿宋-GB2312" w:hAnsi="CESI仿宋-GB2312" w:eastAsia="CESI仿宋-GB2312" w:cs="CESI仿宋-GB2312"/>
          <w:color w:val="000000"/>
          <w:kern w:val="0"/>
          <w:sz w:val="30"/>
          <w:szCs w:val="30"/>
          <w:highlight w:val="none"/>
          <w:lang w:eastAsia="zh-CN"/>
        </w:rPr>
        <w:t>，</w:t>
      </w:r>
      <w:r>
        <w:rPr>
          <w:rFonts w:hint="eastAsia" w:ascii="CESI仿宋-GB2312" w:hAnsi="CESI仿宋-GB2312" w:eastAsia="CESI仿宋-GB2312" w:cs="CESI仿宋-GB2312"/>
          <w:color w:val="000000"/>
          <w:kern w:val="0"/>
          <w:sz w:val="30"/>
          <w:szCs w:val="30"/>
          <w:highlight w:val="none"/>
        </w:rPr>
        <w:t>全面推动职业教育改革和发展。</w:t>
      </w:r>
      <w:r>
        <w:rPr>
          <w:rFonts w:hint="eastAsia" w:ascii="CESI仿宋-GB2312" w:hAnsi="CESI仿宋-GB2312" w:eastAsia="CESI仿宋-GB2312" w:cs="CESI仿宋-GB2312"/>
          <w:color w:val="000000"/>
          <w:kern w:val="0"/>
          <w:sz w:val="30"/>
          <w:szCs w:val="30"/>
          <w:highlight w:val="none"/>
          <w:lang w:eastAsia="zh-CN"/>
        </w:rPr>
        <w:t>目前</w:t>
      </w:r>
      <w:r>
        <w:rPr>
          <w:rFonts w:hint="eastAsia" w:ascii="CESI仿宋-GB2312" w:hAnsi="CESI仿宋-GB2312" w:eastAsia="CESI仿宋-GB2312" w:cs="CESI仿宋-GB2312"/>
          <w:color w:val="000000"/>
          <w:kern w:val="0"/>
          <w:sz w:val="30"/>
          <w:szCs w:val="30"/>
          <w:highlight w:val="none"/>
        </w:rPr>
        <w:t>周口市职业教育已形成“本科—高职—中职”全链条培养体系，全市6所高职院校、2所技师学院与3</w:t>
      </w:r>
      <w:r>
        <w:rPr>
          <w:rFonts w:hint="eastAsia" w:ascii="CESI仿宋-GB2312" w:hAnsi="CESI仿宋-GB2312" w:eastAsia="CESI仿宋-GB2312" w:cs="CESI仿宋-GB2312"/>
          <w:color w:val="000000"/>
          <w:kern w:val="0"/>
          <w:sz w:val="30"/>
          <w:szCs w:val="30"/>
          <w:highlight w:val="none"/>
          <w:lang w:val="en-US" w:eastAsia="zh-CN"/>
        </w:rPr>
        <w:t>5</w:t>
      </w:r>
      <w:r>
        <w:rPr>
          <w:rFonts w:hint="eastAsia" w:ascii="CESI仿宋-GB2312" w:hAnsi="CESI仿宋-GB2312" w:eastAsia="CESI仿宋-GB2312" w:cs="CESI仿宋-GB2312"/>
          <w:color w:val="000000"/>
          <w:kern w:val="0"/>
          <w:sz w:val="30"/>
          <w:szCs w:val="30"/>
          <w:highlight w:val="none"/>
        </w:rPr>
        <w:t>所中职学校错位发展，覆盖工、农、医、师等251个专业，年输送技能人才超3万人，构建起一个层次分明、专业丰富的职业教育体系</w:t>
      </w:r>
    </w:p>
    <w:p w14:paraId="2C4668E2">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特色创新</w:t>
      </w:r>
    </w:p>
    <w:p w14:paraId="1B8C49D1">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lang w:val="en-US" w:eastAsia="zh-CN"/>
        </w:rPr>
      </w:pPr>
      <w:r>
        <w:rPr>
          <w:rFonts w:hint="eastAsia" w:ascii="CESI仿宋-GB2312" w:hAnsi="CESI仿宋-GB2312" w:eastAsia="CESI仿宋-GB2312" w:cs="CESI仿宋-GB2312"/>
          <w:b/>
          <w:bCs/>
          <w:color w:val="000000"/>
          <w:sz w:val="30"/>
          <w:szCs w:val="30"/>
          <w:highlight w:val="none"/>
          <w:lang w:val="en-US" w:eastAsia="zh-CN"/>
        </w:rPr>
        <w:t>（1）职普融通搭桥梁 多元育人启新程——项城中专综合高中改革试点典型案例</w:t>
      </w:r>
    </w:p>
    <w:p w14:paraId="5A977C17">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项城市中等专业学校作为河南省首批“综合高中班试点学校”，自2024年获批以来，以学生多元发展需求为核心，通过两年实践构建起“职普融通、育训并举”的特色发展路径，在校生规模已达400人。学校创新推行分类教学与动态分流机制，高一统一开设普通高中课程，高二起按学生兴趣与能力设立文化类、艺体类、职业类方向，职业类学生注册中职学籍且保留互转通道，通过职业倾向测试、期中试学等方式助力学生精准定位发展方向，支持中职学籍学生参加夏季高考。在课程体系构建上，打造“学术基础+职业技能+综合素质”三维模块，其中学术基础课程占比60%，涵盖普高必修与选择性必修内容；职业技能课程占比30%，包含专业基础课与实操实训；综合素质课程占比10%。涵盖生涯规划、创新创业等内容，针对不同学生采用翻转课堂、分层教学、“半天专业+半天文化”等差异化教学模式。同时，深化产教融合与资源整合，与腾龙实业、松鑫服饰等企业深度合作，共享实训资源，安排汽车维修、幼儿保育等专业学生开展跟岗实习，通过企业实践、省级进修等方式提升教师“双师”能力。建立弹性多元评价体系，毕业生需通过语数学业水平考试，其余科目可自主选择，支持社会培训、竞赛成果折算学分，设计普通高考与职教高考双通道升学路径，打破传统分流固化格局。项城中专综合高中通过课程融合、学籍互通、学分互认与多元评价，为学生提供升学与就业双重选择，其改革实践为区域职业教育创新发展提供了可借鉴的实践样本。</w:t>
      </w:r>
    </w:p>
    <w:p w14:paraId="77735384">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lang w:val="en-US" w:eastAsia="zh-CN"/>
        </w:rPr>
      </w:pPr>
      <w:r>
        <w:rPr>
          <w:rFonts w:hint="eastAsia" w:ascii="CESI仿宋-GB2312" w:hAnsi="CESI仿宋-GB2312" w:eastAsia="CESI仿宋-GB2312" w:cs="CESI仿宋-GB2312"/>
          <w:b/>
          <w:bCs/>
          <w:color w:val="000000"/>
          <w:sz w:val="30"/>
          <w:szCs w:val="30"/>
          <w:highlight w:val="none"/>
          <w:lang w:val="en-US" w:eastAsia="zh-CN"/>
        </w:rPr>
        <w:t>（2）深化校企协同，强化技能赋能——周口市联营职业中等专业学校典型案例</w:t>
      </w:r>
    </w:p>
    <w:p w14:paraId="1ADBA45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周口市联营职业中等专业学校坚守 “为乡村孩子寻出路、为国家育技能人才、为人民办优质职教” 的办学理念，以校企深度合作为纽带，以技能精准培训为核心，构建起 “就业导向、产教融合、育训并举” 的发展模式，毕业生就业率连续多年稳定在 98% 以上。在深化校企合作、拓展就业渠道方面，学校将“访企拓岗”作为常态化工作，领导班子全年走访用人单位200余家，精准挖掘岗位3000余个，形成“供需精准对接、校企双向奔赴”的良好格局。目前已与46家优质企业建立长期稳定合作关系，实现每个专业至少5个对口合作企业的全覆盖。创新“厂中校”“校中厂”合作模式，与富士康（周口）科技工业园联合办学，让学生“车间变课堂、师傅变老师、学生变徒弟”，实现理论学习与顶岗实习无缝衔接；与中原越秀实业有限公司共建人才孵化中心，定向培养烹饪与酒店管理、电子商务等领域人才；与郑州大信家居集团共建产业学院，从专业共建、人才共育到就业创业实现全链条协同，为学生搭建起 “入学即定岗、毕业即就业” 的便捷通道。学校举办职业规划大赛、校企项目班、企业研学等活动，吸引 5000 余名在校生参与，以赛促学、以训促能，带动学生熟练掌握岗位核心技能。</w:t>
      </w:r>
    </w:p>
    <w:p w14:paraId="5BC317C4">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学校党建工作情况</w:t>
      </w:r>
    </w:p>
    <w:p w14:paraId="05E2512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2025年全市中等职业学校各级党组织持续深入学习贯彻习近平新时代中国特色社会主义思想、党的二十大及二十届历次全会精神和全国职业教育大会最新部署要求，深刻领会新修订《职业教育法》及“职教改革深化行动”核心内涵，以党的政治建设为统领，全面加强学校党的建设，牢固树立“四个意识”，坚定“四个自信”，做到“两个维护”，全面贯彻党的教育方针，把立德树人作为根本任务，为职业教育高质量发展提供坚强的组织保证、理论支撑、舆论引导和精神动力。</w:t>
      </w:r>
    </w:p>
    <w:p w14:paraId="1EF8CA01">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全市中等职业学校党组织持续强化政治核心作用，自觉对标党的教育方针政策新要求，统筹领导学校思想政治工作与意识形态建设，严格落实上级党组织工作部署，将基层党组织建设为政治功能突出、组织力过硬的战斗堡垒，确保学校始终沿着正确政治方向发展。各中等职业学校深化党支部标准化规范化建设，进一步扩大党内基层民主实践。加强中职学校党建工作，是新时代贯彻党的教育方针、坚持社会主义办学方向的根本要求。市教体局持续提升党组织建设质量，巩固中职学校党组织和党的工作全覆盖成果，推动党建工作与学校专业建设、产教融合、技能大赛等重点工作深度融合，实现责任共担、考核一体、成效联动。常态化开展“学思想、强党性、重实践、建新功”主题教育实践活动，创新“党建+技能社团”“党建+校企联建”等工作载体，在全市中等职业学校营造了“党建引领、育训并举”的良好组织文化氛围。各职业学校党组织严格落实管党治党、办学治校主体责任，建强领导班子，完善党组织会议、党政联席会议议事规则，严格按民主集中制原则集体决策学校重大改革事项、师资队伍建设、学生发展保障等关键问题，切实强化党组织在学校治理中的领导核心地位。</w:t>
      </w:r>
    </w:p>
    <w:p w14:paraId="730207D2">
      <w:pPr>
        <w:keepNext w:val="0"/>
        <w:keepLines w:val="0"/>
        <w:pageBreakBefore w:val="0"/>
        <w:widowControl/>
        <w:numPr>
          <w:ilvl w:val="0"/>
          <w:numId w:val="0"/>
        </w:numPr>
        <w:suppressLineNumbers w:val="0"/>
        <w:kinsoku/>
        <w:wordWrap/>
        <w:overflowPunct/>
        <w:topLinePunct w:val="0"/>
        <w:autoSpaceDE/>
        <w:autoSpaceDN/>
        <w:bidi w:val="0"/>
        <w:adjustRightInd/>
        <w:snapToGrid/>
        <w:ind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9.主要问题和改进措施</w:t>
      </w:r>
    </w:p>
    <w:p w14:paraId="5808CCAB">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rPr>
      </w:pPr>
      <w:r>
        <w:rPr>
          <w:rFonts w:hint="eastAsia" w:ascii="CESI仿宋-GB2312" w:hAnsi="CESI仿宋-GB2312" w:eastAsia="CESI仿宋-GB2312" w:cs="CESI仿宋-GB2312"/>
          <w:b/>
          <w:color w:val="000000"/>
          <w:sz w:val="30"/>
          <w:szCs w:val="30"/>
          <w:highlight w:val="none"/>
        </w:rPr>
        <w:t xml:space="preserve">问题1. </w:t>
      </w:r>
      <w:r>
        <w:rPr>
          <w:rFonts w:hint="eastAsia" w:ascii="CESI仿宋-GB2312" w:hAnsi="CESI仿宋-GB2312" w:eastAsia="CESI仿宋-GB2312" w:cs="CESI仿宋-GB2312"/>
          <w:b/>
          <w:bCs/>
          <w:color w:val="000000"/>
          <w:sz w:val="30"/>
          <w:szCs w:val="30"/>
          <w:highlight w:val="none"/>
        </w:rPr>
        <w:t>中职教育经费投入不足</w:t>
      </w:r>
    </w:p>
    <w:p w14:paraId="048964C0">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bCs/>
          <w:color w:val="000000"/>
          <w:sz w:val="30"/>
          <w:szCs w:val="30"/>
          <w:highlight w:val="none"/>
        </w:rPr>
      </w:pPr>
      <w:r>
        <w:rPr>
          <w:rFonts w:hint="eastAsia" w:ascii="CESI仿宋-GB2312" w:hAnsi="CESI仿宋-GB2312" w:eastAsia="CESI仿宋-GB2312" w:cs="CESI仿宋-GB2312"/>
          <w:bCs/>
          <w:color w:val="000000"/>
          <w:sz w:val="30"/>
          <w:szCs w:val="30"/>
          <w:highlight w:val="none"/>
        </w:rPr>
        <w:t>中职生均经费县市均未</w:t>
      </w:r>
      <w:r>
        <w:rPr>
          <w:rFonts w:hint="eastAsia" w:ascii="CESI仿宋-GB2312" w:hAnsi="CESI仿宋-GB2312" w:eastAsia="CESI仿宋-GB2312" w:cs="CESI仿宋-GB2312"/>
          <w:bCs/>
          <w:color w:val="000000"/>
          <w:sz w:val="30"/>
          <w:szCs w:val="30"/>
          <w:highlight w:val="none"/>
          <w:lang w:eastAsia="zh-CN"/>
        </w:rPr>
        <w:t>足额</w:t>
      </w:r>
      <w:r>
        <w:rPr>
          <w:rFonts w:hint="eastAsia" w:ascii="CESI仿宋-GB2312" w:hAnsi="CESI仿宋-GB2312" w:eastAsia="CESI仿宋-GB2312" w:cs="CESI仿宋-GB2312"/>
          <w:bCs/>
          <w:color w:val="000000"/>
          <w:sz w:val="30"/>
          <w:szCs w:val="30"/>
          <w:highlight w:val="none"/>
        </w:rPr>
        <w:t>落实，地方教育附加费用于职业教育的比例不低于30%的政策落实不到位，国家和省级财政拨付的职教专项资金、优惠资金，地方配套不能及时足额到位，造成职业教育项目落地难，学校自身造血功能不强，大部分学校实习实训设备缺乏或陈旧落后，县域中职学校生均实训设备值仅为国家标准的40%</w:t>
      </w:r>
      <w:r>
        <w:rPr>
          <w:rFonts w:hint="eastAsia" w:ascii="CESI仿宋-GB2312" w:hAnsi="CESI仿宋-GB2312" w:eastAsia="CESI仿宋-GB2312" w:cs="CESI仿宋-GB2312"/>
          <w:bCs/>
          <w:color w:val="000000"/>
          <w:sz w:val="30"/>
          <w:szCs w:val="30"/>
          <w:highlight w:val="none"/>
          <w:lang w:eastAsia="zh-CN"/>
        </w:rPr>
        <w:t>，</w:t>
      </w:r>
      <w:r>
        <w:rPr>
          <w:rFonts w:hint="eastAsia" w:ascii="CESI仿宋-GB2312" w:hAnsi="CESI仿宋-GB2312" w:eastAsia="CESI仿宋-GB2312" w:cs="CESI仿宋-GB2312"/>
          <w:bCs/>
          <w:color w:val="000000"/>
          <w:sz w:val="30"/>
          <w:szCs w:val="30"/>
          <w:highlight w:val="none"/>
        </w:rPr>
        <w:t>难以满足现代实用技能型人才培养的需要。</w:t>
      </w:r>
    </w:p>
    <w:p w14:paraId="09D454F7">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rPr>
      </w:pPr>
      <w:r>
        <w:rPr>
          <w:rFonts w:hint="eastAsia" w:ascii="CESI仿宋-GB2312" w:hAnsi="CESI仿宋-GB2312" w:eastAsia="CESI仿宋-GB2312" w:cs="CESI仿宋-GB2312"/>
          <w:b/>
          <w:bCs/>
          <w:color w:val="000000"/>
          <w:sz w:val="30"/>
          <w:szCs w:val="30"/>
          <w:highlight w:val="none"/>
        </w:rPr>
        <w:t>改进措施：</w:t>
      </w:r>
      <w:r>
        <w:rPr>
          <w:rFonts w:hint="eastAsia" w:ascii="CESI仿宋-GB2312" w:hAnsi="CESI仿宋-GB2312" w:eastAsia="CESI仿宋-GB2312" w:cs="CESI仿宋-GB2312"/>
          <w:bCs/>
          <w:color w:val="000000"/>
          <w:sz w:val="30"/>
          <w:szCs w:val="30"/>
          <w:highlight w:val="none"/>
          <w:lang w:eastAsia="zh-CN"/>
        </w:rPr>
        <w:t>一是</w:t>
      </w:r>
      <w:r>
        <w:rPr>
          <w:rFonts w:hint="eastAsia" w:ascii="CESI仿宋-GB2312" w:hAnsi="CESI仿宋-GB2312" w:eastAsia="CESI仿宋-GB2312" w:cs="CESI仿宋-GB2312"/>
          <w:bCs/>
          <w:color w:val="000000"/>
          <w:sz w:val="30"/>
          <w:szCs w:val="30"/>
          <w:highlight w:val="none"/>
        </w:rPr>
        <w:t>建立健全职业教育工作联席会议制度，统筹协调教育、人社、财政、发改等部门职责，形成工作合力；</w:t>
      </w:r>
      <w:r>
        <w:rPr>
          <w:rFonts w:hint="eastAsia" w:ascii="CESI仿宋-GB2312" w:hAnsi="CESI仿宋-GB2312" w:eastAsia="CESI仿宋-GB2312" w:cs="CESI仿宋-GB2312"/>
          <w:bCs/>
          <w:color w:val="000000"/>
          <w:sz w:val="30"/>
          <w:szCs w:val="30"/>
          <w:highlight w:val="none"/>
          <w:lang w:eastAsia="zh-CN"/>
        </w:rPr>
        <w:t>二是</w:t>
      </w:r>
      <w:r>
        <w:rPr>
          <w:rFonts w:hint="eastAsia" w:ascii="CESI仿宋-GB2312" w:hAnsi="CESI仿宋-GB2312" w:eastAsia="CESI仿宋-GB2312" w:cs="CESI仿宋-GB2312"/>
          <w:bCs/>
          <w:color w:val="000000"/>
          <w:sz w:val="30"/>
          <w:szCs w:val="30"/>
          <w:highlight w:val="none"/>
        </w:rPr>
        <w:t>将职业教育发展成效纳入县区政府绩效考核，强化常态化督导检查，健全问责机制，确保各项改革措施落地生根。</w:t>
      </w:r>
    </w:p>
    <w:p w14:paraId="4E2C662D">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kern w:val="0"/>
          <w:sz w:val="30"/>
          <w:szCs w:val="30"/>
          <w:highlight w:val="none"/>
          <w:lang w:val="en" w:eastAsia="zh-CN"/>
        </w:rPr>
      </w:pPr>
      <w:r>
        <w:rPr>
          <w:rFonts w:hint="eastAsia" w:ascii="CESI仿宋-GB2312" w:hAnsi="CESI仿宋-GB2312" w:eastAsia="CESI仿宋-GB2312" w:cs="CESI仿宋-GB2312"/>
          <w:b/>
          <w:bCs/>
          <w:color w:val="000000"/>
          <w:kern w:val="0"/>
          <w:sz w:val="30"/>
          <w:szCs w:val="30"/>
          <w:highlight w:val="none"/>
          <w:lang w:val="en" w:eastAsia="zh-CN"/>
        </w:rPr>
        <w:t>问题2.中职学校招生困难，基础薄弱，内涵建设欠佳</w:t>
      </w:r>
    </w:p>
    <w:p w14:paraId="18914292">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周口市作为人口大市、教育大市，截至目前，全市35所中职学校，在校生</w:t>
      </w:r>
      <w:r>
        <w:rPr>
          <w:rFonts w:hint="default" w:ascii="CESI仿宋-GB2312" w:hAnsi="CESI仿宋-GB2312" w:eastAsia="CESI仿宋-GB2312" w:cs="CESI仿宋-GB2312"/>
          <w:color w:val="000000"/>
          <w:kern w:val="0"/>
          <w:sz w:val="30"/>
          <w:szCs w:val="30"/>
          <w:highlight w:val="none"/>
          <w:lang w:val="en" w:eastAsia="zh-CN"/>
        </w:rPr>
        <w:t>3.26</w:t>
      </w:r>
      <w:r>
        <w:rPr>
          <w:rFonts w:hint="eastAsia" w:ascii="CESI仿宋-GB2312" w:hAnsi="CESI仿宋-GB2312" w:eastAsia="CESI仿宋-GB2312" w:cs="CESI仿宋-GB2312"/>
          <w:color w:val="000000"/>
          <w:kern w:val="0"/>
          <w:sz w:val="30"/>
          <w:szCs w:val="30"/>
          <w:highlight w:val="none"/>
          <w:lang w:val="en" w:eastAsia="zh-CN"/>
        </w:rPr>
        <w:t>万</w:t>
      </w:r>
      <w:r>
        <w:rPr>
          <w:rFonts w:hint="eastAsia" w:ascii="CESI仿宋-GB2312" w:hAnsi="CESI仿宋-GB2312" w:eastAsia="CESI仿宋-GB2312" w:cs="CESI仿宋-GB2312"/>
          <w:color w:val="000000"/>
          <w:kern w:val="0"/>
          <w:sz w:val="30"/>
          <w:szCs w:val="30"/>
          <w:highlight w:val="none"/>
          <w:lang w:val="en-US" w:eastAsia="zh-CN"/>
        </w:rPr>
        <w:t>人。近三年全市中职学校招生呈现“计划调整波动、报名与报到人数逐年下滑”的态势。2023年，全市中职学校计划招生27200人，实际报名12399人，实际报到11826（女生4921人、男生6905人）；2024年计划招生30524人，实际报名11288人，实际报到10535人（女生4270人、男生6265人）；2025年计划招生27118人，实际报名10297人，实际报到9678人（女生3934人、男生5744人）。三年间，报名人数从12399人降至10297人，降幅16.9%；报到人数从11826人降至9678人，降幅18.1%，招生规模持续收缩，中职招生面临较大压力。专业设置与社会需求脱节，新兴产业（如低空经济、数字经济）相关专业覆盖率仅10%，传统专业同质化率超40%，与周口主导产业人才需求存在“错位”。</w:t>
      </w:r>
    </w:p>
    <w:p w14:paraId="3F30420B">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b/>
          <w:bCs/>
          <w:color w:val="000000"/>
          <w:sz w:val="30"/>
          <w:szCs w:val="30"/>
          <w:highlight w:val="none"/>
        </w:rPr>
        <w:t>改进措施：</w:t>
      </w:r>
      <w:r>
        <w:rPr>
          <w:rFonts w:hint="eastAsia" w:ascii="CESI仿宋-GB2312" w:hAnsi="CESI仿宋-GB2312" w:eastAsia="CESI仿宋-GB2312" w:cs="CESI仿宋-GB2312"/>
          <w:color w:val="000000"/>
          <w:kern w:val="0"/>
          <w:sz w:val="30"/>
          <w:szCs w:val="30"/>
          <w:highlight w:val="none"/>
          <w:lang w:eastAsia="zh-CN"/>
        </w:rPr>
        <w:t>一是</w:t>
      </w:r>
      <w:r>
        <w:rPr>
          <w:rFonts w:hint="eastAsia" w:ascii="CESI仿宋-GB2312" w:hAnsi="CESI仿宋-GB2312" w:eastAsia="CESI仿宋-GB2312" w:cs="CESI仿宋-GB2312"/>
          <w:color w:val="000000"/>
          <w:kern w:val="0"/>
          <w:sz w:val="30"/>
          <w:szCs w:val="30"/>
          <w:highlight w:val="none"/>
        </w:rPr>
        <w:t>坚持多渠道、多元化投入</w:t>
      </w:r>
      <w:r>
        <w:rPr>
          <w:rFonts w:hint="eastAsia" w:ascii="CESI仿宋-GB2312" w:hAnsi="CESI仿宋-GB2312" w:eastAsia="CESI仿宋-GB2312" w:cs="CESI仿宋-GB2312"/>
          <w:color w:val="000000"/>
          <w:kern w:val="0"/>
          <w:sz w:val="30"/>
          <w:szCs w:val="30"/>
          <w:highlight w:val="none"/>
          <w:lang w:eastAsia="zh-CN"/>
        </w:rPr>
        <w:t>。</w:t>
      </w:r>
      <w:r>
        <w:rPr>
          <w:rFonts w:hint="eastAsia" w:ascii="CESI仿宋-GB2312" w:hAnsi="CESI仿宋-GB2312" w:eastAsia="CESI仿宋-GB2312" w:cs="CESI仿宋-GB2312"/>
          <w:color w:val="000000"/>
          <w:kern w:val="0"/>
          <w:sz w:val="30"/>
          <w:szCs w:val="30"/>
          <w:highlight w:val="none"/>
          <w:lang w:val="en-US" w:eastAsia="zh-CN"/>
        </w:rPr>
        <w:t>推进中等职业学校标准化建设</w:t>
      </w:r>
      <w:r>
        <w:rPr>
          <w:rFonts w:hint="eastAsia" w:ascii="CESI仿宋-GB2312" w:hAnsi="CESI仿宋-GB2312" w:eastAsia="CESI仿宋-GB2312" w:cs="CESI仿宋-GB2312"/>
          <w:color w:val="000000"/>
          <w:kern w:val="0"/>
          <w:sz w:val="30"/>
          <w:szCs w:val="30"/>
          <w:highlight w:val="none"/>
        </w:rPr>
        <w:t>，</w:t>
      </w:r>
      <w:r>
        <w:rPr>
          <w:rFonts w:hint="eastAsia" w:ascii="CESI仿宋-GB2312" w:hAnsi="CESI仿宋-GB2312" w:eastAsia="CESI仿宋-GB2312" w:cs="CESI仿宋-GB2312"/>
          <w:color w:val="000000"/>
          <w:kern w:val="0"/>
          <w:sz w:val="30"/>
          <w:szCs w:val="30"/>
          <w:highlight w:val="none"/>
          <w:lang w:val="en-US" w:eastAsia="zh-CN"/>
        </w:rPr>
        <w:t>建设2-3个省级高职“双高工程”学校和6个左右中职“双优”学校，</w:t>
      </w:r>
      <w:r>
        <w:rPr>
          <w:rFonts w:hint="eastAsia" w:ascii="CESI仿宋-GB2312" w:hAnsi="CESI仿宋-GB2312" w:eastAsia="CESI仿宋-GB2312" w:cs="CESI仿宋-GB2312"/>
          <w:color w:val="000000"/>
          <w:kern w:val="0"/>
          <w:sz w:val="30"/>
          <w:szCs w:val="30"/>
          <w:highlight w:val="none"/>
          <w:lang w:eastAsia="zh-CN"/>
        </w:rPr>
        <w:t>提升学校软硬件水平，</w:t>
      </w:r>
      <w:r>
        <w:rPr>
          <w:rFonts w:hint="eastAsia" w:ascii="CESI仿宋-GB2312" w:hAnsi="CESI仿宋-GB2312" w:eastAsia="CESI仿宋-GB2312" w:cs="CESI仿宋-GB2312"/>
          <w:color w:val="000000"/>
          <w:kern w:val="0"/>
          <w:sz w:val="30"/>
          <w:szCs w:val="30"/>
          <w:highlight w:val="none"/>
        </w:rPr>
        <w:t>擦亮品牌，争创一流。</w:t>
      </w:r>
      <w:r>
        <w:rPr>
          <w:rFonts w:hint="eastAsia" w:ascii="CESI仿宋-GB2312" w:hAnsi="CESI仿宋-GB2312" w:eastAsia="CESI仿宋-GB2312" w:cs="CESI仿宋-GB2312"/>
          <w:color w:val="000000"/>
          <w:kern w:val="0"/>
          <w:sz w:val="30"/>
          <w:szCs w:val="30"/>
          <w:highlight w:val="none"/>
          <w:lang w:eastAsia="zh-CN"/>
        </w:rPr>
        <w:t>二是</w:t>
      </w:r>
      <w:r>
        <w:rPr>
          <w:rFonts w:hint="eastAsia" w:ascii="CESI仿宋-GB2312" w:hAnsi="CESI仿宋-GB2312" w:eastAsia="CESI仿宋-GB2312" w:cs="CESI仿宋-GB2312"/>
          <w:color w:val="000000"/>
          <w:kern w:val="0"/>
          <w:sz w:val="30"/>
          <w:szCs w:val="30"/>
          <w:highlight w:val="none"/>
        </w:rPr>
        <w:t>深化职普融通改革。扩大综合高中班试点范围，2025 年已扩展至7所学校，计划 2027年前实现中职学校综合高中班覆盖率超50%，推行课程互选、学分互认、学籍互转，为学生提供多元选择通道。</w:t>
      </w:r>
      <w:r>
        <w:rPr>
          <w:rFonts w:hint="eastAsia" w:ascii="CESI仿宋-GB2312" w:hAnsi="CESI仿宋-GB2312" w:eastAsia="CESI仿宋-GB2312" w:cs="CESI仿宋-GB2312"/>
          <w:color w:val="000000"/>
          <w:kern w:val="0"/>
          <w:sz w:val="30"/>
          <w:szCs w:val="30"/>
          <w:highlight w:val="none"/>
          <w:lang w:eastAsia="zh-CN"/>
        </w:rPr>
        <w:t>三是</w:t>
      </w:r>
      <w:r>
        <w:rPr>
          <w:rFonts w:hint="eastAsia" w:ascii="CESI仿宋-GB2312" w:hAnsi="CESI仿宋-GB2312" w:eastAsia="CESI仿宋-GB2312" w:cs="CESI仿宋-GB2312"/>
          <w:color w:val="000000"/>
          <w:kern w:val="0"/>
          <w:sz w:val="30"/>
          <w:szCs w:val="30"/>
          <w:highlight w:val="none"/>
        </w:rPr>
        <w:t>优化专业适配度。围绕</w:t>
      </w:r>
      <w:r>
        <w:rPr>
          <w:rFonts w:hint="eastAsia" w:ascii="CESI仿宋-GB2312" w:hAnsi="CESI仿宋-GB2312" w:eastAsia="CESI仿宋-GB2312" w:cs="CESI仿宋-GB2312"/>
          <w:color w:val="000000"/>
          <w:kern w:val="0"/>
          <w:sz w:val="30"/>
          <w:szCs w:val="30"/>
          <w:highlight w:val="none"/>
          <w:lang w:eastAsia="zh-CN"/>
        </w:rPr>
        <w:t>周口市</w:t>
      </w:r>
      <w:r>
        <w:rPr>
          <w:rFonts w:hint="eastAsia" w:ascii="CESI仿宋-GB2312" w:hAnsi="CESI仿宋-GB2312" w:eastAsia="CESI仿宋-GB2312" w:cs="CESI仿宋-GB2312"/>
          <w:color w:val="000000"/>
          <w:kern w:val="0"/>
          <w:sz w:val="30"/>
          <w:szCs w:val="30"/>
          <w:highlight w:val="none"/>
        </w:rPr>
        <w:t>临港经济、智能制造、现代农业等主导产业，调整专业结构，减少传统专业同质化</w:t>
      </w:r>
      <w:r>
        <w:rPr>
          <w:rFonts w:hint="eastAsia" w:ascii="CESI仿宋-GB2312" w:hAnsi="CESI仿宋-GB2312" w:eastAsia="CESI仿宋-GB2312" w:cs="CESI仿宋-GB2312"/>
          <w:color w:val="000000"/>
          <w:kern w:val="0"/>
          <w:sz w:val="30"/>
          <w:szCs w:val="30"/>
          <w:highlight w:val="none"/>
          <w:lang w:eastAsia="zh-CN"/>
        </w:rPr>
        <w:t>。四是</w:t>
      </w:r>
      <w:r>
        <w:rPr>
          <w:rFonts w:hint="eastAsia" w:ascii="CESI仿宋-GB2312" w:hAnsi="CESI仿宋-GB2312" w:eastAsia="CESI仿宋-GB2312" w:cs="CESI仿宋-GB2312"/>
          <w:color w:val="000000"/>
          <w:kern w:val="0"/>
          <w:sz w:val="30"/>
          <w:szCs w:val="30"/>
          <w:highlight w:val="none"/>
        </w:rPr>
        <w:t>壮大“双师型”教师队伍</w:t>
      </w:r>
      <w:r>
        <w:rPr>
          <w:rFonts w:hint="eastAsia" w:ascii="CESI仿宋-GB2312" w:hAnsi="CESI仿宋-GB2312" w:eastAsia="CESI仿宋-GB2312" w:cs="CESI仿宋-GB2312"/>
          <w:color w:val="000000"/>
          <w:kern w:val="0"/>
          <w:sz w:val="30"/>
          <w:szCs w:val="30"/>
          <w:highlight w:val="none"/>
          <w:lang w:eastAsia="zh-CN"/>
        </w:rPr>
        <w:t>，</w:t>
      </w:r>
      <w:r>
        <w:rPr>
          <w:rFonts w:hint="eastAsia" w:ascii="CESI仿宋-GB2312" w:hAnsi="CESI仿宋-GB2312" w:eastAsia="CESI仿宋-GB2312" w:cs="CESI仿宋-GB2312"/>
          <w:color w:val="000000"/>
          <w:kern w:val="0"/>
          <w:sz w:val="30"/>
          <w:szCs w:val="30"/>
          <w:highlight w:val="none"/>
        </w:rPr>
        <w:t>实施“双百计划”——五年内选派200名教师赴企业担任技术顾问或顶岗实践，邀请200名企业技术能手、非遗传承人到校任教；建立“双师型”教师认证标准，将企业实践经历、技术服务成果纳入职称评审指标，优先晋升有突出贡献者。</w:t>
      </w:r>
    </w:p>
    <w:p w14:paraId="4AB43422">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kern w:val="0"/>
          <w:sz w:val="30"/>
          <w:szCs w:val="30"/>
          <w:highlight w:val="none"/>
          <w:lang w:val="en-US" w:eastAsia="zh-CN"/>
        </w:rPr>
      </w:pPr>
      <w:r>
        <w:rPr>
          <w:rFonts w:hint="eastAsia" w:ascii="CESI仿宋-GB2312" w:hAnsi="CESI仿宋-GB2312" w:eastAsia="CESI仿宋-GB2312" w:cs="CESI仿宋-GB2312"/>
          <w:b/>
          <w:bCs/>
          <w:color w:val="000000"/>
          <w:kern w:val="0"/>
          <w:sz w:val="30"/>
          <w:szCs w:val="30"/>
          <w:highlight w:val="none"/>
          <w:lang w:val="en-US" w:eastAsia="zh-CN"/>
        </w:rPr>
        <w:t>问题3.校企合作，产教融合深度不够，职业教育服务地方经济发展能力不强</w:t>
      </w:r>
    </w:p>
    <w:p w14:paraId="1F7C563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校企合作多停留在基础层面，专业共建、课程共研、技术共创等深层次协同育人机制尚未健全，合作的持续性和实效性有待提升。毕业生外省企业就业比例较高，本地企业的就业比例较低，服务地方经济发展不够。</w:t>
      </w:r>
    </w:p>
    <w:p w14:paraId="71CDF0DD">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rPr>
      </w:pPr>
      <w:r>
        <w:rPr>
          <w:rFonts w:hint="eastAsia" w:ascii="CESI仿宋-GB2312" w:hAnsi="CESI仿宋-GB2312" w:eastAsia="CESI仿宋-GB2312" w:cs="CESI仿宋-GB2312"/>
          <w:b/>
          <w:bCs/>
          <w:color w:val="000000"/>
          <w:sz w:val="30"/>
          <w:szCs w:val="30"/>
          <w:highlight w:val="none"/>
        </w:rPr>
        <w:t>改进措施</w:t>
      </w:r>
    </w:p>
    <w:p w14:paraId="2CCC86A0">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bCs/>
          <w:color w:val="000000"/>
          <w:sz w:val="30"/>
          <w:szCs w:val="30"/>
          <w:highlight w:val="none"/>
        </w:rPr>
      </w:pPr>
      <w:r>
        <w:rPr>
          <w:rFonts w:hint="eastAsia" w:ascii="CESI仿宋-GB2312" w:hAnsi="CESI仿宋-GB2312" w:eastAsia="CESI仿宋-GB2312" w:cs="CESI仿宋-GB2312"/>
          <w:color w:val="000000"/>
          <w:sz w:val="30"/>
          <w:szCs w:val="30"/>
          <w:highlight w:val="none"/>
          <w:lang w:eastAsia="zh-CN"/>
        </w:rPr>
        <w:t>一是</w:t>
      </w:r>
      <w:r>
        <w:rPr>
          <w:rFonts w:hint="eastAsia" w:ascii="CESI仿宋-GB2312" w:hAnsi="CESI仿宋-GB2312" w:eastAsia="CESI仿宋-GB2312" w:cs="CESI仿宋-GB2312"/>
          <w:color w:val="000000"/>
          <w:sz w:val="30"/>
          <w:szCs w:val="30"/>
          <w:highlight w:val="none"/>
        </w:rPr>
        <w:t>深化产教融合，促进教育链、人才链与产业链、创新链有机衔接。推进中职学校与更多的本地企业开展现代学徒制改革试点，推动更多中职学校深化引企入校改革，实行面向企业真实生产环境的培养模式。</w:t>
      </w:r>
      <w:r>
        <w:rPr>
          <w:rFonts w:hint="eastAsia" w:ascii="CESI仿宋-GB2312" w:hAnsi="CESI仿宋-GB2312" w:eastAsia="CESI仿宋-GB2312" w:cs="CESI仿宋-GB2312"/>
          <w:color w:val="000000"/>
          <w:sz w:val="30"/>
          <w:szCs w:val="30"/>
          <w:highlight w:val="none"/>
          <w:lang w:eastAsia="zh-CN"/>
        </w:rPr>
        <w:t>二是</w:t>
      </w:r>
      <w:r>
        <w:rPr>
          <w:rFonts w:hint="eastAsia" w:ascii="CESI仿宋-GB2312" w:hAnsi="CESI仿宋-GB2312" w:eastAsia="CESI仿宋-GB2312" w:cs="CESI仿宋-GB2312"/>
          <w:color w:val="000000"/>
          <w:sz w:val="30"/>
          <w:szCs w:val="30"/>
          <w:highlight w:val="none"/>
        </w:rPr>
        <w:t>加强宣传，做好政策配套。引导职业学校和本地企事业单位开展就业宣讲会、招聘会等活动，让更多的学生在本地就业创业，提高职业教育服务地方经济发展能力。</w:t>
      </w:r>
    </w:p>
    <w:sectPr>
      <w:footerReference r:id="rId3" w:type="default"/>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ESI仿宋-GB2312">
    <w:altName w:val="仿宋"/>
    <w:panose1 w:val="02000500000000000000"/>
    <w:charset w:val="86"/>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5570FC2F">
    <w:panose1 w:val="02010609060101010101"/>
    <w:charset w:val="86"/>
    <w:family w:val="auto"/>
    <w:pitch w:val="default"/>
    <w:sig w:usb0="00000001" w:usb1="00000000" w:usb2="00000000" w:usb3="00000000" w:csb0="00040001" w:csb1="00000000"/>
  </w:font>
  <w:font w:name="KSOF557087D0">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8108E">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D36F11">
                          <w:pPr>
                            <w:pStyle w:val="4"/>
                          </w:pPr>
                          <w:r>
                            <w:fldChar w:fldCharType="begin"/>
                          </w:r>
                          <w:r>
                            <w:instrText xml:space="preserve"> PAGE   \* MERGEFORMAT </w:instrText>
                          </w:r>
                          <w:r>
                            <w:fldChar w:fldCharType="separate"/>
                          </w:r>
                          <w:r>
                            <w:rPr>
                              <w:lang w:val="zh-CN"/>
                            </w:rPr>
                            <w:t>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CD36F11">
                    <w:pPr>
                      <w:pStyle w:val="4"/>
                    </w:pPr>
                    <w:r>
                      <w:fldChar w:fldCharType="begin"/>
                    </w:r>
                    <w:r>
                      <w:instrText xml:space="preserve"> PAGE   \* MERGEFORMAT </w:instrText>
                    </w:r>
                    <w:r>
                      <w:fldChar w:fldCharType="separate"/>
                    </w:r>
                    <w:r>
                      <w:rPr>
                        <w:lang w:val="zh-CN"/>
                      </w:rPr>
                      <w:t>6</w:t>
                    </w:r>
                    <w:r>
                      <w:fldChar w:fldCharType="end"/>
                    </w:r>
                  </w:p>
                </w:txbxContent>
              </v:textbox>
            </v:shape>
          </w:pict>
        </mc:Fallback>
      </mc:AlternateContent>
    </w:r>
  </w:p>
  <w:p w14:paraId="045AF8D5">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F3DCC6"/>
    <w:multiLevelType w:val="multilevel"/>
    <w:tmpl w:val="33F3DCC6"/>
    <w:lvl w:ilvl="0" w:tentative="0">
      <w:start w:val="1"/>
      <w:numFmt w:val="decimal"/>
      <w:lvlText w:val="%1."/>
      <w:lvlJc w:val="left"/>
      <w:pPr>
        <w:tabs>
          <w:tab w:val="left" w:pos="312"/>
        </w:tabs>
      </w:p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yYzkyMmI0YjIwYjMzY2EzN2Y4ZWIzNzg4NGE2MWEifQ=="/>
  </w:docVars>
  <w:rsids>
    <w:rsidRoot w:val="00F91A3E"/>
    <w:rsid w:val="000017FB"/>
    <w:rsid w:val="00005508"/>
    <w:rsid w:val="00043321"/>
    <w:rsid w:val="000542F3"/>
    <w:rsid w:val="0006127B"/>
    <w:rsid w:val="00064777"/>
    <w:rsid w:val="00067DCD"/>
    <w:rsid w:val="0008040F"/>
    <w:rsid w:val="000A420E"/>
    <w:rsid w:val="000B32AC"/>
    <w:rsid w:val="000C04CC"/>
    <w:rsid w:val="000E5990"/>
    <w:rsid w:val="000F748A"/>
    <w:rsid w:val="00142E6B"/>
    <w:rsid w:val="00191E4C"/>
    <w:rsid w:val="00193D30"/>
    <w:rsid w:val="001B4851"/>
    <w:rsid w:val="001F3C12"/>
    <w:rsid w:val="00214903"/>
    <w:rsid w:val="002460D6"/>
    <w:rsid w:val="00257689"/>
    <w:rsid w:val="00261B00"/>
    <w:rsid w:val="002769B3"/>
    <w:rsid w:val="00286F69"/>
    <w:rsid w:val="002960B7"/>
    <w:rsid w:val="002B05A8"/>
    <w:rsid w:val="002B06D1"/>
    <w:rsid w:val="002B10A7"/>
    <w:rsid w:val="002B26E6"/>
    <w:rsid w:val="00315315"/>
    <w:rsid w:val="0032421E"/>
    <w:rsid w:val="00351D66"/>
    <w:rsid w:val="00356D84"/>
    <w:rsid w:val="00360C3B"/>
    <w:rsid w:val="00363A52"/>
    <w:rsid w:val="00387DA3"/>
    <w:rsid w:val="003D29F5"/>
    <w:rsid w:val="003D47EA"/>
    <w:rsid w:val="003D5178"/>
    <w:rsid w:val="003F0922"/>
    <w:rsid w:val="00404A24"/>
    <w:rsid w:val="00443D8B"/>
    <w:rsid w:val="0045079E"/>
    <w:rsid w:val="004E37A1"/>
    <w:rsid w:val="004F254C"/>
    <w:rsid w:val="004F2BCE"/>
    <w:rsid w:val="00521402"/>
    <w:rsid w:val="00536804"/>
    <w:rsid w:val="00546A6E"/>
    <w:rsid w:val="00556EE3"/>
    <w:rsid w:val="00557422"/>
    <w:rsid w:val="00565B5D"/>
    <w:rsid w:val="00584313"/>
    <w:rsid w:val="005A72EA"/>
    <w:rsid w:val="005C13FE"/>
    <w:rsid w:val="005C5664"/>
    <w:rsid w:val="005E3D22"/>
    <w:rsid w:val="005F0222"/>
    <w:rsid w:val="005F2DF3"/>
    <w:rsid w:val="00610F48"/>
    <w:rsid w:val="00613B9A"/>
    <w:rsid w:val="006151F0"/>
    <w:rsid w:val="006309A6"/>
    <w:rsid w:val="0063743A"/>
    <w:rsid w:val="00644898"/>
    <w:rsid w:val="00644986"/>
    <w:rsid w:val="006507EE"/>
    <w:rsid w:val="00653C08"/>
    <w:rsid w:val="00675F80"/>
    <w:rsid w:val="0068028F"/>
    <w:rsid w:val="00687D88"/>
    <w:rsid w:val="00695F17"/>
    <w:rsid w:val="00727F3C"/>
    <w:rsid w:val="00740EDC"/>
    <w:rsid w:val="007702FB"/>
    <w:rsid w:val="00781DF2"/>
    <w:rsid w:val="00796F5F"/>
    <w:rsid w:val="007A1BEA"/>
    <w:rsid w:val="007B15DF"/>
    <w:rsid w:val="007C1898"/>
    <w:rsid w:val="007C2BCF"/>
    <w:rsid w:val="007E02F4"/>
    <w:rsid w:val="007F5AD1"/>
    <w:rsid w:val="00816522"/>
    <w:rsid w:val="008241F9"/>
    <w:rsid w:val="008831BD"/>
    <w:rsid w:val="00890F04"/>
    <w:rsid w:val="008A4EE9"/>
    <w:rsid w:val="008C71D3"/>
    <w:rsid w:val="008C77BB"/>
    <w:rsid w:val="008F14BD"/>
    <w:rsid w:val="008F7BD0"/>
    <w:rsid w:val="00906C03"/>
    <w:rsid w:val="00911B3E"/>
    <w:rsid w:val="00917514"/>
    <w:rsid w:val="00917D96"/>
    <w:rsid w:val="00935EEF"/>
    <w:rsid w:val="00936481"/>
    <w:rsid w:val="009463A0"/>
    <w:rsid w:val="00963DDD"/>
    <w:rsid w:val="00980504"/>
    <w:rsid w:val="00982A0D"/>
    <w:rsid w:val="009A6FDF"/>
    <w:rsid w:val="009C2E1F"/>
    <w:rsid w:val="009C7128"/>
    <w:rsid w:val="009D3EEE"/>
    <w:rsid w:val="009E65E4"/>
    <w:rsid w:val="009F09C2"/>
    <w:rsid w:val="009F7D75"/>
    <w:rsid w:val="00A33682"/>
    <w:rsid w:val="00A34C1B"/>
    <w:rsid w:val="00A3716E"/>
    <w:rsid w:val="00A460C6"/>
    <w:rsid w:val="00A55446"/>
    <w:rsid w:val="00AC1E3A"/>
    <w:rsid w:val="00AE4355"/>
    <w:rsid w:val="00AE5C4E"/>
    <w:rsid w:val="00B03B22"/>
    <w:rsid w:val="00B14FA1"/>
    <w:rsid w:val="00B20E77"/>
    <w:rsid w:val="00B347E6"/>
    <w:rsid w:val="00B55EE9"/>
    <w:rsid w:val="00B567F5"/>
    <w:rsid w:val="00B6035F"/>
    <w:rsid w:val="00B614A2"/>
    <w:rsid w:val="00B64662"/>
    <w:rsid w:val="00B75F0E"/>
    <w:rsid w:val="00B82F63"/>
    <w:rsid w:val="00B968CF"/>
    <w:rsid w:val="00BA431E"/>
    <w:rsid w:val="00BA7F2F"/>
    <w:rsid w:val="00BD4EBF"/>
    <w:rsid w:val="00BE2DE7"/>
    <w:rsid w:val="00CB484D"/>
    <w:rsid w:val="00CD18BC"/>
    <w:rsid w:val="00CD387C"/>
    <w:rsid w:val="00CE045F"/>
    <w:rsid w:val="00D2117B"/>
    <w:rsid w:val="00D30592"/>
    <w:rsid w:val="00D32A04"/>
    <w:rsid w:val="00D54329"/>
    <w:rsid w:val="00DC0D39"/>
    <w:rsid w:val="00DE5720"/>
    <w:rsid w:val="00E05996"/>
    <w:rsid w:val="00E25469"/>
    <w:rsid w:val="00E4265D"/>
    <w:rsid w:val="00E532BA"/>
    <w:rsid w:val="00E6453B"/>
    <w:rsid w:val="00E67CD1"/>
    <w:rsid w:val="00E70766"/>
    <w:rsid w:val="00EC3139"/>
    <w:rsid w:val="00ED3012"/>
    <w:rsid w:val="00EE6DC4"/>
    <w:rsid w:val="00EF33DA"/>
    <w:rsid w:val="00EF6B04"/>
    <w:rsid w:val="00F016F6"/>
    <w:rsid w:val="00F36BDB"/>
    <w:rsid w:val="00F52C50"/>
    <w:rsid w:val="00F64D91"/>
    <w:rsid w:val="00F702BF"/>
    <w:rsid w:val="00F72FFF"/>
    <w:rsid w:val="00F91A3E"/>
    <w:rsid w:val="00FB1EDA"/>
    <w:rsid w:val="00FF2E36"/>
    <w:rsid w:val="0CFFFBB8"/>
    <w:rsid w:val="0D85670F"/>
    <w:rsid w:val="15FFCB3D"/>
    <w:rsid w:val="1FDFC1D9"/>
    <w:rsid w:val="23BC14BC"/>
    <w:rsid w:val="24B16B47"/>
    <w:rsid w:val="25DF5A22"/>
    <w:rsid w:val="27BA3F65"/>
    <w:rsid w:val="2EA731B9"/>
    <w:rsid w:val="2F87F69F"/>
    <w:rsid w:val="32A001FB"/>
    <w:rsid w:val="3B912DD7"/>
    <w:rsid w:val="3BB15227"/>
    <w:rsid w:val="3DBAB5C3"/>
    <w:rsid w:val="3DD747C1"/>
    <w:rsid w:val="3F7724EA"/>
    <w:rsid w:val="3FB241C1"/>
    <w:rsid w:val="50BC224C"/>
    <w:rsid w:val="512E4EF8"/>
    <w:rsid w:val="520914C1"/>
    <w:rsid w:val="532F4F57"/>
    <w:rsid w:val="545F99EC"/>
    <w:rsid w:val="550B5550"/>
    <w:rsid w:val="553E76D4"/>
    <w:rsid w:val="55FC26D4"/>
    <w:rsid w:val="56334D5F"/>
    <w:rsid w:val="57BE9E8B"/>
    <w:rsid w:val="5AFF2CD2"/>
    <w:rsid w:val="5D2E6280"/>
    <w:rsid w:val="5DD706C5"/>
    <w:rsid w:val="5DFBAF36"/>
    <w:rsid w:val="5EB34C8F"/>
    <w:rsid w:val="666F3177"/>
    <w:rsid w:val="673FFC06"/>
    <w:rsid w:val="680E1188"/>
    <w:rsid w:val="69F11878"/>
    <w:rsid w:val="6E35746E"/>
    <w:rsid w:val="6E3F7163"/>
    <w:rsid w:val="6F598783"/>
    <w:rsid w:val="6F7FC997"/>
    <w:rsid w:val="6FDFA1D3"/>
    <w:rsid w:val="74FF2975"/>
    <w:rsid w:val="75A354CD"/>
    <w:rsid w:val="75BB7963"/>
    <w:rsid w:val="75F93493"/>
    <w:rsid w:val="77FB532A"/>
    <w:rsid w:val="7A3C1B84"/>
    <w:rsid w:val="7A6F3D08"/>
    <w:rsid w:val="7A8F0ED3"/>
    <w:rsid w:val="7D37D637"/>
    <w:rsid w:val="7DB85BAA"/>
    <w:rsid w:val="7F7E3007"/>
    <w:rsid w:val="7F8B84CC"/>
    <w:rsid w:val="7FCF0839"/>
    <w:rsid w:val="7FEA9682"/>
    <w:rsid w:val="7FEE7EE8"/>
    <w:rsid w:val="7FF70826"/>
    <w:rsid w:val="7FFF2D06"/>
    <w:rsid w:val="7FFF599C"/>
    <w:rsid w:val="937D27DD"/>
    <w:rsid w:val="95FF87E8"/>
    <w:rsid w:val="9F7F286A"/>
    <w:rsid w:val="AD2BEE44"/>
    <w:rsid w:val="B7BB0481"/>
    <w:rsid w:val="B7BFFF80"/>
    <w:rsid w:val="BFAB196F"/>
    <w:rsid w:val="C78B1E15"/>
    <w:rsid w:val="CFEFA172"/>
    <w:rsid w:val="D2FFDC13"/>
    <w:rsid w:val="D6C7C549"/>
    <w:rsid w:val="DCFD6111"/>
    <w:rsid w:val="DF5D33CF"/>
    <w:rsid w:val="E4BE63DC"/>
    <w:rsid w:val="ED8FEEAB"/>
    <w:rsid w:val="EFBEE971"/>
    <w:rsid w:val="F57D601A"/>
    <w:rsid w:val="F7BD9BCA"/>
    <w:rsid w:val="F7FFE4C5"/>
    <w:rsid w:val="FBCF2A10"/>
    <w:rsid w:val="FBF61F92"/>
    <w:rsid w:val="FD5B4135"/>
    <w:rsid w:val="FEEE3626"/>
    <w:rsid w:val="FF5EC20C"/>
    <w:rsid w:val="FF7BD1B3"/>
    <w:rsid w:val="FF9F237A"/>
    <w:rsid w:val="FFAEE068"/>
    <w:rsid w:val="FFD511E8"/>
    <w:rsid w:val="FFDE28D9"/>
    <w:rsid w:val="FFF5C4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1"/>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rPr>
      <w:rFonts w:ascii="Times New Roman" w:hAnsi="Times New Roman" w:cs="Times New Roman"/>
      <w:sz w:val="24"/>
      <w:szCs w:val="24"/>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批注框文本 Char"/>
    <w:basedOn w:val="8"/>
    <w:link w:val="3"/>
    <w:semiHidden/>
    <w:qFormat/>
    <w:uiPriority w:val="99"/>
    <w:rPr>
      <w:sz w:val="18"/>
      <w:szCs w:val="18"/>
    </w:rPr>
  </w:style>
  <w:style w:type="paragraph" w:customStyle="1" w:styleId="12">
    <w:name w:val="Char Char"/>
    <w:basedOn w:val="1"/>
    <w:qFormat/>
    <w:uiPriority w:val="0"/>
    <w:rPr>
      <w:rFonts w:ascii="Tahoma" w:hAnsi="Tahoma" w:eastAsia="宋体" w:cs="Times New Roman"/>
      <w:sz w:val="24"/>
      <w:szCs w:val="20"/>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16</Pages>
  <Words>8521</Words>
  <Characters>8953</Characters>
  <Lines>69</Lines>
  <Paragraphs>19</Paragraphs>
  <TotalTime>17</TotalTime>
  <ScaleCrop>false</ScaleCrop>
  <LinksUpToDate>false</LinksUpToDate>
  <CharactersWithSpaces>9011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2020-03-15T15:53:00Z</dcterms:created>
  <dc:creator>User</dc:creator>
  <cp:lastModifiedBy>   最初</cp:lastModifiedBy>
  <cp:lastPrinted>2026-01-01T08:19:00Z</cp:lastPrinted>
  <dcterms:modified xsi:type="dcterms:W3CDTF">2026-07-14T08:20:05Z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850AA0FB922940E28A21A1A621D88F82_13</vt:lpwstr>
  </property>
  <property fmtid="{D5CDD505-2E9C-101B-9397-08002B2CF9AE}" pid="4" name="KSOTemplateDocerSaveRecord">
    <vt:lpwstr>eyJoZGlkIjoiZjRkMTliMWRmZDY4ZjhlN2FjMTQxODZjYmMyZDJkYTYiLCJ1c2VySWQiOiI1NzQwOTUyMjcifQ==</vt:lpwstr>
  </property>
</Properties>
</file>